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83" w:firstLineChars="200"/>
        <w:jc w:val="center"/>
        <w:rPr>
          <w:rFonts w:ascii="宋体"/>
          <w:b/>
          <w:sz w:val="44"/>
          <w:szCs w:val="44"/>
        </w:rPr>
      </w:pPr>
      <w:r>
        <w:rPr>
          <w:rFonts w:hint="eastAsia" w:ascii="宋体" w:hAnsi="宋体"/>
          <w:b/>
          <w:sz w:val="44"/>
          <w:szCs w:val="44"/>
        </w:rPr>
        <w:t>香河县委党校</w:t>
      </w:r>
      <w:r>
        <w:rPr>
          <w:rFonts w:hint="eastAsia" w:ascii="宋体" w:hAnsi="宋体"/>
          <w:b/>
          <w:sz w:val="44"/>
          <w:szCs w:val="44"/>
          <w:lang w:eastAsia="zh-CN"/>
        </w:rPr>
        <w:t>2019年</w:t>
      </w:r>
      <w:r>
        <w:rPr>
          <w:rFonts w:hint="eastAsia" w:ascii="宋体" w:hAnsi="宋体"/>
          <w:b/>
          <w:sz w:val="44"/>
          <w:szCs w:val="44"/>
        </w:rPr>
        <w:t>部门预算信息公开</w:t>
      </w:r>
    </w:p>
    <w:p>
      <w:pPr>
        <w:ind w:firstLine="883" w:firstLineChars="200"/>
        <w:jc w:val="center"/>
        <w:rPr>
          <w:rFonts w:ascii="宋体"/>
          <w:b/>
          <w:sz w:val="44"/>
          <w:szCs w:val="44"/>
        </w:rPr>
      </w:pPr>
    </w:p>
    <w:p>
      <w:pPr>
        <w:ind w:firstLine="640" w:firstLineChars="200"/>
        <w:rPr>
          <w:rFonts w:ascii="仿宋" w:hAnsi="仿宋" w:eastAsia="仿宋"/>
          <w:sz w:val="32"/>
          <w:szCs w:val="32"/>
        </w:rPr>
      </w:pPr>
      <w:r>
        <w:rPr>
          <w:rFonts w:hint="eastAsia" w:ascii="仿宋" w:hAnsi="仿宋" w:eastAsia="仿宋"/>
          <w:sz w:val="32"/>
          <w:szCs w:val="32"/>
        </w:rPr>
        <w:t>按照《预算法》、《地方预决算公开操作规程》和《河北省省级预算公开办法》规定，现将香河县委党校</w:t>
      </w:r>
      <w:r>
        <w:rPr>
          <w:rFonts w:hint="eastAsia" w:ascii="仿宋" w:hAnsi="仿宋" w:eastAsia="仿宋"/>
          <w:sz w:val="32"/>
          <w:szCs w:val="32"/>
          <w:lang w:eastAsia="zh-CN"/>
        </w:rPr>
        <w:t>2019年</w:t>
      </w:r>
      <w:r>
        <w:rPr>
          <w:rFonts w:hint="eastAsia" w:ascii="仿宋" w:hAnsi="仿宋" w:eastAsia="仿宋"/>
          <w:sz w:val="32"/>
          <w:szCs w:val="32"/>
        </w:rPr>
        <w:t>部门预算公开如下：</w:t>
      </w:r>
    </w:p>
    <w:p>
      <w:pPr>
        <w:ind w:firstLine="640"/>
        <w:rPr>
          <w:rFonts w:ascii="黑体" w:hAnsi="黑体" w:eastAsia="黑体"/>
          <w:sz w:val="32"/>
          <w:szCs w:val="32"/>
        </w:rPr>
      </w:pPr>
      <w:r>
        <w:rPr>
          <w:rFonts w:hint="eastAsia" w:ascii="黑体" w:hAnsi="黑体" w:eastAsia="黑体"/>
          <w:sz w:val="32"/>
          <w:szCs w:val="32"/>
        </w:rPr>
        <w:t>一、部门职责及机构设置情况</w:t>
      </w:r>
    </w:p>
    <w:p>
      <w:pPr>
        <w:ind w:firstLine="643" w:firstLineChars="200"/>
        <w:rPr>
          <w:rFonts w:ascii="仿宋" w:hAnsi="仿宋" w:eastAsia="仿宋"/>
          <w:b/>
          <w:sz w:val="32"/>
          <w:szCs w:val="32"/>
        </w:rPr>
      </w:pPr>
      <w:r>
        <w:rPr>
          <w:rFonts w:hint="eastAsia" w:ascii="仿宋" w:hAnsi="仿宋" w:eastAsia="仿宋"/>
          <w:b/>
          <w:sz w:val="32"/>
          <w:szCs w:val="32"/>
        </w:rPr>
        <w:t>部门职责：</w:t>
      </w:r>
    </w:p>
    <w:p>
      <w:pPr>
        <w:ind w:firstLine="640" w:firstLineChars="200"/>
        <w:rPr>
          <w:rFonts w:ascii="仿宋" w:hAnsi="仿宋" w:eastAsia="仿宋"/>
          <w:sz w:val="32"/>
          <w:szCs w:val="32"/>
        </w:rPr>
      </w:pPr>
      <w:r>
        <w:rPr>
          <w:rFonts w:hint="eastAsia" w:ascii="仿宋" w:hAnsi="仿宋" w:eastAsia="仿宋"/>
          <w:sz w:val="32"/>
          <w:szCs w:val="32"/>
        </w:rPr>
        <w:t>县委党校是党委领导下</w:t>
      </w:r>
      <w:r>
        <w:rPr>
          <w:rFonts w:ascii="仿宋" w:hAnsi="仿宋" w:eastAsia="仿宋"/>
          <w:sz w:val="32"/>
          <w:szCs w:val="32"/>
        </w:rPr>
        <w:t>,</w:t>
      </w:r>
      <w:r>
        <w:rPr>
          <w:rFonts w:hint="eastAsia" w:ascii="仿宋" w:hAnsi="仿宋" w:eastAsia="仿宋"/>
          <w:sz w:val="32"/>
          <w:szCs w:val="32"/>
        </w:rPr>
        <w:t>按照社会主义现代化事业的要求教育、培训党的干部的学校，是培养各级领导干部的学校，是培养各级领导干部、培养理论骨干、学习和研究马列主义、毛泽东思想、邓小平理论的重要阵地，也是干部增强党性锻炼的熔炉。</w:t>
      </w:r>
    </w:p>
    <w:p>
      <w:pPr>
        <w:ind w:firstLine="643" w:firstLineChars="200"/>
        <w:rPr>
          <w:rFonts w:ascii="仿宋" w:hAnsi="仿宋" w:eastAsia="仿宋"/>
          <w:b/>
          <w:sz w:val="32"/>
          <w:szCs w:val="32"/>
        </w:rPr>
      </w:pPr>
      <w:r>
        <w:rPr>
          <w:rFonts w:hint="eastAsia" w:ascii="仿宋" w:hAnsi="仿宋" w:eastAsia="仿宋"/>
          <w:b/>
          <w:sz w:val="32"/>
          <w:szCs w:val="32"/>
        </w:rPr>
        <w:t>机构设置：</w:t>
      </w:r>
    </w:p>
    <w:p>
      <w:pPr>
        <w:ind w:firstLine="640" w:firstLineChars="200"/>
        <w:jc w:val="left"/>
        <w:outlineLvl w:val="0"/>
        <w:rPr>
          <w:rFonts w:ascii="仿宋" w:hAnsi="仿宋" w:eastAsia="仿宋"/>
          <w:sz w:val="32"/>
          <w:szCs w:val="32"/>
        </w:rPr>
      </w:pPr>
      <w:r>
        <w:rPr>
          <w:rFonts w:hint="eastAsia" w:ascii="仿宋" w:hAnsi="仿宋" w:eastAsia="仿宋"/>
          <w:sz w:val="32"/>
          <w:szCs w:val="32"/>
        </w:rPr>
        <w:t>经费保障形式包括：财政性资金基本保证（全额事业）</w:t>
      </w:r>
    </w:p>
    <w:p>
      <w:pPr>
        <w:jc w:val="left"/>
        <w:outlineLvl w:val="0"/>
        <w:rPr>
          <w:rFonts w:ascii="仿宋" w:hAnsi="仿宋" w:eastAsia="仿宋"/>
          <w:sz w:val="32"/>
          <w:szCs w:val="32"/>
        </w:rPr>
      </w:pPr>
    </w:p>
    <w:p>
      <w:pPr>
        <w:jc w:val="left"/>
        <w:outlineLvl w:val="0"/>
        <w:rPr>
          <w:rFonts w:ascii="仿宋" w:hAnsi="仿宋" w:eastAsia="仿宋"/>
          <w:sz w:val="32"/>
          <w:szCs w:val="32"/>
        </w:rPr>
      </w:pPr>
    </w:p>
    <w:p>
      <w:pPr>
        <w:jc w:val="center"/>
        <w:outlineLvl w:val="0"/>
        <w:rPr>
          <w:rFonts w:ascii="Times New Roman" w:hAnsi="Times New Roman" w:eastAsia="方正小标宋_GBK"/>
          <w:sz w:val="32"/>
          <w:szCs w:val="24"/>
        </w:rPr>
      </w:pPr>
      <w:r>
        <w:rPr>
          <w:rFonts w:hint="eastAsia" w:ascii="Times New Roman" w:hAnsi="Times New Roman" w:eastAsia="方正小标宋_GBK"/>
          <w:sz w:val="32"/>
          <w:szCs w:val="24"/>
        </w:rPr>
        <w:t>部门机构设置情况</w:t>
      </w:r>
    </w:p>
    <w:tbl>
      <w:tblPr>
        <w:tblStyle w:val="6"/>
        <w:tblW w:w="1042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776"/>
        <w:gridCol w:w="1134"/>
        <w:gridCol w:w="1276"/>
        <w:gridCol w:w="32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4776" w:type="dxa"/>
            <w:vMerge w:val="restart"/>
            <w:vAlign w:val="center"/>
          </w:tcPr>
          <w:p>
            <w:pPr>
              <w:spacing w:line="300" w:lineRule="exact"/>
              <w:jc w:val="center"/>
              <w:rPr>
                <w:rFonts w:ascii="Times New Roman" w:hAnsi="Times New Roman" w:eastAsia="方正书宋_GBK"/>
                <w:b/>
                <w:szCs w:val="24"/>
              </w:rPr>
            </w:pPr>
            <w:r>
              <w:rPr>
                <w:rFonts w:hint="eastAsia" w:ascii="Times New Roman" w:hAnsi="Times New Roman" w:eastAsia="方正书宋_GBK"/>
                <w:b/>
                <w:szCs w:val="24"/>
              </w:rPr>
              <w:t>单位名称</w:t>
            </w:r>
          </w:p>
        </w:tc>
        <w:tc>
          <w:tcPr>
            <w:tcW w:w="1134" w:type="dxa"/>
            <w:vMerge w:val="restart"/>
            <w:vAlign w:val="center"/>
          </w:tcPr>
          <w:p>
            <w:pPr>
              <w:spacing w:line="300" w:lineRule="exact"/>
              <w:jc w:val="center"/>
              <w:rPr>
                <w:rFonts w:ascii="Times New Roman" w:hAnsi="Times New Roman" w:eastAsia="方正书宋_GBK"/>
                <w:b/>
                <w:szCs w:val="24"/>
              </w:rPr>
            </w:pPr>
            <w:r>
              <w:rPr>
                <w:rFonts w:hint="eastAsia" w:ascii="Times New Roman" w:hAnsi="Times New Roman" w:eastAsia="方正书宋_GBK"/>
                <w:b/>
                <w:szCs w:val="24"/>
              </w:rPr>
              <w:t>单位性质</w:t>
            </w:r>
          </w:p>
        </w:tc>
        <w:tc>
          <w:tcPr>
            <w:tcW w:w="1276" w:type="dxa"/>
            <w:vMerge w:val="restart"/>
            <w:vAlign w:val="center"/>
          </w:tcPr>
          <w:p>
            <w:pPr>
              <w:spacing w:line="300" w:lineRule="exact"/>
              <w:jc w:val="center"/>
              <w:rPr>
                <w:rFonts w:ascii="Times New Roman" w:hAnsi="Times New Roman" w:eastAsia="方正书宋_GBK"/>
                <w:b/>
                <w:szCs w:val="24"/>
              </w:rPr>
            </w:pPr>
            <w:r>
              <w:rPr>
                <w:rFonts w:hint="eastAsia" w:ascii="Times New Roman" w:hAnsi="Times New Roman" w:eastAsia="方正书宋_GBK"/>
                <w:b/>
                <w:szCs w:val="24"/>
              </w:rPr>
              <w:t>单位规格</w:t>
            </w:r>
          </w:p>
        </w:tc>
        <w:tc>
          <w:tcPr>
            <w:tcW w:w="3237" w:type="dxa"/>
            <w:vMerge w:val="restart"/>
            <w:vAlign w:val="center"/>
          </w:tcPr>
          <w:p>
            <w:pPr>
              <w:spacing w:line="300" w:lineRule="exact"/>
              <w:jc w:val="center"/>
              <w:rPr>
                <w:rFonts w:ascii="Times New Roman" w:hAnsi="Times New Roman" w:eastAsia="方正书宋_GBK"/>
                <w:b/>
                <w:szCs w:val="24"/>
              </w:rPr>
            </w:pPr>
            <w:r>
              <w:rPr>
                <w:rFonts w:hint="eastAsia" w:ascii="Times New Roman" w:hAnsi="Times New Roman" w:eastAsia="方正书宋_GBK"/>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4776" w:type="dxa"/>
            <w:vMerge w:val="continue"/>
            <w:vAlign w:val="center"/>
          </w:tcPr>
          <w:p>
            <w:pPr>
              <w:spacing w:line="300" w:lineRule="exact"/>
              <w:jc w:val="left"/>
              <w:outlineLvl w:val="0"/>
              <w:rPr>
                <w:rFonts w:ascii="Times New Roman" w:hAnsi="Times New Roman"/>
                <w:szCs w:val="24"/>
              </w:rPr>
            </w:pPr>
          </w:p>
        </w:tc>
        <w:tc>
          <w:tcPr>
            <w:tcW w:w="1134" w:type="dxa"/>
            <w:vMerge w:val="continue"/>
            <w:vAlign w:val="center"/>
          </w:tcPr>
          <w:p>
            <w:pPr>
              <w:spacing w:line="300" w:lineRule="exact"/>
              <w:jc w:val="left"/>
              <w:outlineLvl w:val="0"/>
              <w:rPr>
                <w:rFonts w:ascii="Times New Roman" w:hAnsi="Times New Roman"/>
                <w:szCs w:val="24"/>
              </w:rPr>
            </w:pPr>
          </w:p>
        </w:tc>
        <w:tc>
          <w:tcPr>
            <w:tcW w:w="1276" w:type="dxa"/>
            <w:vMerge w:val="continue"/>
            <w:vAlign w:val="center"/>
          </w:tcPr>
          <w:p>
            <w:pPr>
              <w:spacing w:line="300" w:lineRule="exact"/>
              <w:jc w:val="left"/>
              <w:outlineLvl w:val="0"/>
              <w:rPr>
                <w:rFonts w:ascii="Times New Roman" w:hAnsi="Times New Roman"/>
                <w:szCs w:val="24"/>
              </w:rPr>
            </w:pPr>
          </w:p>
        </w:tc>
        <w:tc>
          <w:tcPr>
            <w:tcW w:w="3237" w:type="dxa"/>
            <w:vMerge w:val="continue"/>
            <w:vAlign w:val="center"/>
          </w:tcPr>
          <w:p>
            <w:pPr>
              <w:spacing w:line="300" w:lineRule="exact"/>
              <w:jc w:val="left"/>
              <w:outlineLvl w:val="0"/>
              <w:rPr>
                <w:rFonts w:ascii="Times New Roman" w:hAnsi="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776" w:type="dxa"/>
            <w:vAlign w:val="center"/>
          </w:tcPr>
          <w:p>
            <w:pPr>
              <w:spacing w:line="300" w:lineRule="exact"/>
              <w:jc w:val="left"/>
              <w:rPr>
                <w:rFonts w:ascii="Times New Roman" w:hAnsi="Times New Roman" w:eastAsia="方正书宋_GBK"/>
                <w:szCs w:val="24"/>
              </w:rPr>
            </w:pPr>
            <w:r>
              <w:rPr>
                <w:rFonts w:hint="eastAsia" w:ascii="Times New Roman" w:hAnsi="Times New Roman" w:eastAsia="方正书宋_GBK"/>
                <w:szCs w:val="24"/>
              </w:rPr>
              <w:t>中国共产党香河县委员会党校</w:t>
            </w:r>
          </w:p>
        </w:tc>
        <w:tc>
          <w:tcPr>
            <w:tcW w:w="1134" w:type="dxa"/>
            <w:vAlign w:val="center"/>
          </w:tcPr>
          <w:p>
            <w:pPr>
              <w:spacing w:line="300" w:lineRule="exact"/>
              <w:jc w:val="left"/>
              <w:rPr>
                <w:rFonts w:ascii="Times New Roman" w:hAnsi="Times New Roman" w:eastAsia="方正书宋_GBK"/>
                <w:szCs w:val="24"/>
              </w:rPr>
            </w:pPr>
            <w:r>
              <w:rPr>
                <w:rFonts w:hint="eastAsia" w:ascii="Times New Roman" w:hAnsi="Times New Roman" w:eastAsia="方正书宋_GBK"/>
                <w:szCs w:val="24"/>
              </w:rPr>
              <w:t>事业</w:t>
            </w:r>
          </w:p>
        </w:tc>
        <w:tc>
          <w:tcPr>
            <w:tcW w:w="1276" w:type="dxa"/>
            <w:vAlign w:val="center"/>
          </w:tcPr>
          <w:p>
            <w:pPr>
              <w:spacing w:line="300" w:lineRule="exact"/>
              <w:jc w:val="left"/>
              <w:rPr>
                <w:rFonts w:ascii="Times New Roman" w:hAnsi="Times New Roman" w:eastAsia="方正书宋_GBK"/>
                <w:szCs w:val="24"/>
              </w:rPr>
            </w:pPr>
            <w:r>
              <w:rPr>
                <w:rFonts w:hint="eastAsia" w:ascii="Times New Roman" w:hAnsi="Times New Roman" w:eastAsia="方正书宋_GBK"/>
                <w:szCs w:val="24"/>
              </w:rPr>
              <w:t>正科</w:t>
            </w:r>
          </w:p>
        </w:tc>
        <w:tc>
          <w:tcPr>
            <w:tcW w:w="3237" w:type="dxa"/>
            <w:vAlign w:val="center"/>
          </w:tcPr>
          <w:p>
            <w:pPr>
              <w:spacing w:line="300" w:lineRule="exact"/>
              <w:jc w:val="left"/>
              <w:rPr>
                <w:rFonts w:ascii="Times New Roman" w:hAnsi="Times New Roman" w:eastAsia="方正书宋_GBK"/>
                <w:szCs w:val="24"/>
              </w:rPr>
            </w:pPr>
            <w:r>
              <w:rPr>
                <w:rFonts w:hint="eastAsia" w:ascii="Times New Roman" w:hAnsi="Times New Roman" w:eastAsia="方正书宋_GBK"/>
                <w:szCs w:val="24"/>
              </w:rPr>
              <w:t>财政性资金基本保证（全额事业）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776" w:type="dxa"/>
            <w:vAlign w:val="center"/>
          </w:tcPr>
          <w:p>
            <w:pPr>
              <w:spacing w:line="300" w:lineRule="exact"/>
              <w:jc w:val="left"/>
              <w:rPr>
                <w:rFonts w:ascii="Times New Roman" w:hAnsi="Times New Roman" w:eastAsia="方正书宋_GBK"/>
                <w:szCs w:val="24"/>
              </w:rPr>
            </w:pPr>
          </w:p>
        </w:tc>
        <w:tc>
          <w:tcPr>
            <w:tcW w:w="1134" w:type="dxa"/>
            <w:vAlign w:val="center"/>
          </w:tcPr>
          <w:p>
            <w:pPr>
              <w:spacing w:line="300" w:lineRule="exact"/>
              <w:jc w:val="left"/>
              <w:rPr>
                <w:rFonts w:ascii="Times New Roman" w:hAnsi="Times New Roman" w:eastAsia="方正书宋_GBK"/>
                <w:szCs w:val="24"/>
              </w:rPr>
            </w:pPr>
          </w:p>
        </w:tc>
        <w:tc>
          <w:tcPr>
            <w:tcW w:w="1276" w:type="dxa"/>
            <w:vAlign w:val="center"/>
          </w:tcPr>
          <w:p>
            <w:pPr>
              <w:spacing w:line="300" w:lineRule="exact"/>
              <w:jc w:val="left"/>
              <w:rPr>
                <w:rFonts w:ascii="Times New Roman" w:hAnsi="Times New Roman" w:eastAsia="方正书宋_GBK"/>
                <w:szCs w:val="24"/>
              </w:rPr>
            </w:pPr>
          </w:p>
        </w:tc>
        <w:tc>
          <w:tcPr>
            <w:tcW w:w="3237" w:type="dxa"/>
            <w:vAlign w:val="center"/>
          </w:tcPr>
          <w:p>
            <w:pPr>
              <w:spacing w:line="300" w:lineRule="exact"/>
              <w:jc w:val="left"/>
              <w:rPr>
                <w:rFonts w:ascii="Times New Roman" w:hAnsi="Times New Roman" w:eastAsia="方正书宋_GBK"/>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776" w:type="dxa"/>
            <w:vAlign w:val="center"/>
          </w:tcPr>
          <w:p>
            <w:pPr>
              <w:spacing w:line="300" w:lineRule="exact"/>
              <w:jc w:val="left"/>
              <w:rPr>
                <w:rFonts w:ascii="Times New Roman" w:hAnsi="Times New Roman" w:eastAsia="方正书宋_GBK"/>
                <w:szCs w:val="24"/>
              </w:rPr>
            </w:pPr>
          </w:p>
        </w:tc>
        <w:tc>
          <w:tcPr>
            <w:tcW w:w="1134" w:type="dxa"/>
            <w:vAlign w:val="center"/>
          </w:tcPr>
          <w:p>
            <w:pPr>
              <w:spacing w:line="300" w:lineRule="exact"/>
              <w:jc w:val="left"/>
              <w:rPr>
                <w:rFonts w:ascii="Times New Roman" w:hAnsi="Times New Roman" w:eastAsia="方正书宋_GBK"/>
                <w:szCs w:val="24"/>
              </w:rPr>
            </w:pPr>
          </w:p>
        </w:tc>
        <w:tc>
          <w:tcPr>
            <w:tcW w:w="1276" w:type="dxa"/>
            <w:vAlign w:val="center"/>
          </w:tcPr>
          <w:p>
            <w:pPr>
              <w:spacing w:line="300" w:lineRule="exact"/>
              <w:jc w:val="left"/>
              <w:rPr>
                <w:rFonts w:ascii="Times New Roman" w:hAnsi="Times New Roman" w:eastAsia="方正书宋_GBK"/>
                <w:szCs w:val="24"/>
              </w:rPr>
            </w:pPr>
          </w:p>
        </w:tc>
        <w:tc>
          <w:tcPr>
            <w:tcW w:w="3237" w:type="dxa"/>
            <w:vAlign w:val="center"/>
          </w:tcPr>
          <w:p>
            <w:pPr>
              <w:spacing w:line="300" w:lineRule="exact"/>
              <w:jc w:val="left"/>
              <w:rPr>
                <w:rFonts w:ascii="Times New Roman" w:hAnsi="Times New Roman" w:eastAsia="方正书宋_GBK"/>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776" w:type="dxa"/>
            <w:vAlign w:val="center"/>
          </w:tcPr>
          <w:p>
            <w:pPr>
              <w:spacing w:line="300" w:lineRule="exact"/>
              <w:jc w:val="left"/>
              <w:rPr>
                <w:rFonts w:ascii="Times New Roman" w:hAnsi="Times New Roman" w:eastAsia="方正书宋_GBK"/>
                <w:szCs w:val="24"/>
              </w:rPr>
            </w:pPr>
          </w:p>
        </w:tc>
        <w:tc>
          <w:tcPr>
            <w:tcW w:w="1134" w:type="dxa"/>
            <w:vAlign w:val="center"/>
          </w:tcPr>
          <w:p>
            <w:pPr>
              <w:spacing w:line="300" w:lineRule="exact"/>
              <w:jc w:val="left"/>
              <w:rPr>
                <w:rFonts w:ascii="Times New Roman" w:hAnsi="Times New Roman" w:eastAsia="方正书宋_GBK"/>
                <w:szCs w:val="24"/>
              </w:rPr>
            </w:pPr>
          </w:p>
        </w:tc>
        <w:tc>
          <w:tcPr>
            <w:tcW w:w="1276" w:type="dxa"/>
            <w:vAlign w:val="center"/>
          </w:tcPr>
          <w:p>
            <w:pPr>
              <w:spacing w:line="300" w:lineRule="exact"/>
              <w:jc w:val="left"/>
              <w:rPr>
                <w:rFonts w:ascii="Times New Roman" w:hAnsi="Times New Roman" w:eastAsia="方正书宋_GBK"/>
                <w:szCs w:val="24"/>
              </w:rPr>
            </w:pPr>
          </w:p>
        </w:tc>
        <w:tc>
          <w:tcPr>
            <w:tcW w:w="3237" w:type="dxa"/>
            <w:vAlign w:val="center"/>
          </w:tcPr>
          <w:p>
            <w:pPr>
              <w:spacing w:line="300" w:lineRule="exact"/>
              <w:jc w:val="left"/>
              <w:rPr>
                <w:rFonts w:ascii="Times New Roman" w:hAnsi="Times New Roman" w:eastAsia="方正书宋_GBK"/>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776" w:type="dxa"/>
            <w:vAlign w:val="center"/>
          </w:tcPr>
          <w:p>
            <w:pPr>
              <w:spacing w:line="300" w:lineRule="exact"/>
              <w:jc w:val="left"/>
              <w:rPr>
                <w:rFonts w:ascii="Times New Roman" w:hAnsi="Times New Roman" w:eastAsia="方正书宋_GBK"/>
                <w:szCs w:val="24"/>
              </w:rPr>
            </w:pPr>
          </w:p>
        </w:tc>
        <w:tc>
          <w:tcPr>
            <w:tcW w:w="1134" w:type="dxa"/>
            <w:vAlign w:val="center"/>
          </w:tcPr>
          <w:p>
            <w:pPr>
              <w:spacing w:line="300" w:lineRule="exact"/>
              <w:jc w:val="left"/>
              <w:rPr>
                <w:rFonts w:ascii="Times New Roman" w:hAnsi="Times New Roman" w:eastAsia="方正书宋_GBK"/>
                <w:szCs w:val="24"/>
              </w:rPr>
            </w:pPr>
          </w:p>
        </w:tc>
        <w:tc>
          <w:tcPr>
            <w:tcW w:w="1276" w:type="dxa"/>
            <w:vAlign w:val="center"/>
          </w:tcPr>
          <w:p>
            <w:pPr>
              <w:spacing w:line="300" w:lineRule="exact"/>
              <w:jc w:val="left"/>
              <w:rPr>
                <w:rFonts w:ascii="Times New Roman" w:hAnsi="Times New Roman" w:eastAsia="方正书宋_GBK"/>
                <w:szCs w:val="24"/>
              </w:rPr>
            </w:pPr>
          </w:p>
        </w:tc>
        <w:tc>
          <w:tcPr>
            <w:tcW w:w="3237" w:type="dxa"/>
            <w:vAlign w:val="center"/>
          </w:tcPr>
          <w:p>
            <w:pPr>
              <w:spacing w:line="300" w:lineRule="exact"/>
              <w:jc w:val="left"/>
              <w:rPr>
                <w:rFonts w:ascii="Times New Roman" w:hAnsi="Times New Roman" w:eastAsia="方正书宋_GBK"/>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776" w:type="dxa"/>
            <w:vAlign w:val="center"/>
          </w:tcPr>
          <w:p>
            <w:pPr>
              <w:spacing w:line="300" w:lineRule="exact"/>
              <w:jc w:val="left"/>
              <w:rPr>
                <w:rFonts w:ascii="Times New Roman" w:hAnsi="Times New Roman" w:eastAsia="方正书宋_GBK"/>
                <w:szCs w:val="24"/>
              </w:rPr>
            </w:pPr>
          </w:p>
        </w:tc>
        <w:tc>
          <w:tcPr>
            <w:tcW w:w="1134" w:type="dxa"/>
            <w:vAlign w:val="center"/>
          </w:tcPr>
          <w:p>
            <w:pPr>
              <w:spacing w:line="300" w:lineRule="exact"/>
              <w:jc w:val="left"/>
              <w:rPr>
                <w:rFonts w:ascii="Times New Roman" w:hAnsi="Times New Roman" w:eastAsia="方正书宋_GBK"/>
                <w:szCs w:val="24"/>
              </w:rPr>
            </w:pPr>
          </w:p>
        </w:tc>
        <w:tc>
          <w:tcPr>
            <w:tcW w:w="1276" w:type="dxa"/>
            <w:vAlign w:val="center"/>
          </w:tcPr>
          <w:p>
            <w:pPr>
              <w:spacing w:line="300" w:lineRule="exact"/>
              <w:jc w:val="left"/>
              <w:rPr>
                <w:rFonts w:ascii="Times New Roman" w:hAnsi="Times New Roman" w:eastAsia="方正书宋_GBK"/>
                <w:szCs w:val="24"/>
              </w:rPr>
            </w:pPr>
          </w:p>
        </w:tc>
        <w:tc>
          <w:tcPr>
            <w:tcW w:w="3237" w:type="dxa"/>
            <w:vAlign w:val="center"/>
          </w:tcPr>
          <w:p>
            <w:pPr>
              <w:spacing w:line="300" w:lineRule="exact"/>
              <w:jc w:val="left"/>
              <w:rPr>
                <w:rFonts w:ascii="Times New Roman" w:hAnsi="Times New Roman" w:eastAsia="方正书宋_GBK"/>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776" w:type="dxa"/>
            <w:vAlign w:val="center"/>
          </w:tcPr>
          <w:p>
            <w:pPr>
              <w:spacing w:line="300" w:lineRule="exact"/>
              <w:jc w:val="left"/>
              <w:rPr>
                <w:rFonts w:ascii="Times New Roman" w:hAnsi="Times New Roman" w:eastAsia="方正书宋_GBK"/>
                <w:szCs w:val="24"/>
              </w:rPr>
            </w:pPr>
          </w:p>
        </w:tc>
        <w:tc>
          <w:tcPr>
            <w:tcW w:w="1134" w:type="dxa"/>
            <w:vAlign w:val="center"/>
          </w:tcPr>
          <w:p>
            <w:pPr>
              <w:spacing w:line="300" w:lineRule="exact"/>
              <w:jc w:val="left"/>
              <w:rPr>
                <w:rFonts w:ascii="Times New Roman" w:hAnsi="Times New Roman" w:eastAsia="方正书宋_GBK"/>
                <w:szCs w:val="24"/>
              </w:rPr>
            </w:pPr>
          </w:p>
        </w:tc>
        <w:tc>
          <w:tcPr>
            <w:tcW w:w="1276" w:type="dxa"/>
            <w:vAlign w:val="center"/>
          </w:tcPr>
          <w:p>
            <w:pPr>
              <w:spacing w:line="300" w:lineRule="exact"/>
              <w:jc w:val="left"/>
              <w:rPr>
                <w:rFonts w:ascii="Times New Roman" w:hAnsi="Times New Roman" w:eastAsia="方正书宋_GBK"/>
                <w:szCs w:val="24"/>
              </w:rPr>
            </w:pPr>
          </w:p>
        </w:tc>
        <w:tc>
          <w:tcPr>
            <w:tcW w:w="3237" w:type="dxa"/>
            <w:vAlign w:val="center"/>
          </w:tcPr>
          <w:p>
            <w:pPr>
              <w:spacing w:line="300" w:lineRule="exact"/>
              <w:jc w:val="left"/>
              <w:rPr>
                <w:rFonts w:ascii="Times New Roman" w:hAnsi="Times New Roman" w:eastAsia="方正书宋_GBK"/>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776" w:type="dxa"/>
            <w:vAlign w:val="center"/>
          </w:tcPr>
          <w:p>
            <w:pPr>
              <w:spacing w:line="300" w:lineRule="exact"/>
              <w:jc w:val="left"/>
              <w:rPr>
                <w:rFonts w:ascii="Times New Roman" w:hAnsi="Times New Roman" w:eastAsia="方正书宋_GBK"/>
                <w:szCs w:val="24"/>
              </w:rPr>
            </w:pPr>
          </w:p>
        </w:tc>
        <w:tc>
          <w:tcPr>
            <w:tcW w:w="1134" w:type="dxa"/>
            <w:vAlign w:val="center"/>
          </w:tcPr>
          <w:p>
            <w:pPr>
              <w:spacing w:line="300" w:lineRule="exact"/>
              <w:jc w:val="left"/>
              <w:rPr>
                <w:rFonts w:ascii="Times New Roman" w:hAnsi="Times New Roman" w:eastAsia="方正书宋_GBK"/>
                <w:szCs w:val="24"/>
              </w:rPr>
            </w:pPr>
          </w:p>
        </w:tc>
        <w:tc>
          <w:tcPr>
            <w:tcW w:w="1276" w:type="dxa"/>
            <w:vAlign w:val="center"/>
          </w:tcPr>
          <w:p>
            <w:pPr>
              <w:spacing w:line="300" w:lineRule="exact"/>
              <w:jc w:val="left"/>
              <w:rPr>
                <w:rFonts w:ascii="Times New Roman" w:hAnsi="Times New Roman" w:eastAsia="方正书宋_GBK"/>
                <w:szCs w:val="24"/>
              </w:rPr>
            </w:pPr>
          </w:p>
        </w:tc>
        <w:tc>
          <w:tcPr>
            <w:tcW w:w="3237" w:type="dxa"/>
            <w:vAlign w:val="center"/>
          </w:tcPr>
          <w:p>
            <w:pPr>
              <w:spacing w:line="300" w:lineRule="exact"/>
              <w:jc w:val="left"/>
              <w:rPr>
                <w:rFonts w:ascii="Times New Roman" w:hAnsi="Times New Roman" w:eastAsia="方正书宋_GBK"/>
                <w:szCs w:val="24"/>
              </w:rPr>
            </w:pPr>
          </w:p>
        </w:tc>
      </w:tr>
    </w:tbl>
    <w:p>
      <w:pPr>
        <w:ind w:firstLine="640"/>
        <w:rPr>
          <w:rFonts w:ascii="黑体" w:hAnsi="黑体" w:eastAsia="黑体"/>
          <w:sz w:val="32"/>
          <w:szCs w:val="32"/>
        </w:rPr>
      </w:pPr>
    </w:p>
    <w:p>
      <w:pPr>
        <w:ind w:firstLine="640"/>
        <w:rPr>
          <w:rFonts w:ascii="黑体" w:hAnsi="黑体" w:eastAsia="黑体"/>
          <w:sz w:val="32"/>
          <w:szCs w:val="32"/>
        </w:rPr>
      </w:pPr>
      <w:r>
        <w:rPr>
          <w:rFonts w:hint="eastAsia" w:ascii="黑体" w:hAnsi="黑体" w:eastAsia="黑体"/>
          <w:sz w:val="32"/>
          <w:szCs w:val="32"/>
        </w:rPr>
        <w:t>二、部门预算安排的总体情况</w:t>
      </w:r>
    </w:p>
    <w:p>
      <w:pPr>
        <w:ind w:firstLine="640" w:firstLineChars="200"/>
        <w:rPr>
          <w:rFonts w:ascii="仿宋" w:hAnsi="仿宋" w:eastAsia="仿宋"/>
          <w:sz w:val="32"/>
          <w:szCs w:val="32"/>
        </w:rPr>
      </w:pPr>
      <w:r>
        <w:rPr>
          <w:rFonts w:hint="eastAsia" w:ascii="仿宋" w:hAnsi="仿宋" w:eastAsia="仿宋"/>
          <w:sz w:val="32"/>
          <w:szCs w:val="32"/>
        </w:rPr>
        <w:t>按照预算管理有关规定，目前我县部门预算的编制实行综合预算制度，即全部收入和支出都反映在预算中。</w:t>
      </w:r>
    </w:p>
    <w:p>
      <w:pPr>
        <w:ind w:firstLine="640"/>
        <w:rPr>
          <w:rFonts w:ascii="楷体" w:hAnsi="楷体" w:eastAsia="楷体"/>
          <w:b/>
          <w:sz w:val="32"/>
          <w:szCs w:val="32"/>
        </w:rPr>
      </w:pPr>
      <w:r>
        <w:rPr>
          <w:rFonts w:ascii="楷体" w:hAnsi="楷体" w:eastAsia="楷体"/>
          <w:b/>
          <w:sz w:val="32"/>
          <w:szCs w:val="32"/>
        </w:rPr>
        <w:t>1</w:t>
      </w:r>
      <w:r>
        <w:rPr>
          <w:rFonts w:hint="eastAsia" w:ascii="楷体" w:hAnsi="楷体" w:eastAsia="楷体"/>
          <w:b/>
          <w:sz w:val="32"/>
          <w:szCs w:val="32"/>
        </w:rPr>
        <w:t>、收入说明</w:t>
      </w:r>
    </w:p>
    <w:p>
      <w:pPr>
        <w:ind w:firstLine="640"/>
        <w:rPr>
          <w:rFonts w:ascii="仿宋" w:hAnsi="仿宋" w:eastAsia="仿宋"/>
          <w:sz w:val="32"/>
          <w:szCs w:val="32"/>
        </w:rPr>
      </w:pPr>
      <w:r>
        <w:rPr>
          <w:rFonts w:hint="eastAsia" w:ascii="仿宋" w:hAnsi="仿宋" w:eastAsia="仿宋"/>
          <w:sz w:val="32"/>
          <w:szCs w:val="32"/>
        </w:rPr>
        <w:t>反映本部门当年全部收入。</w:t>
      </w:r>
      <w:r>
        <w:rPr>
          <w:rFonts w:hint="eastAsia" w:ascii="仿宋" w:hAnsi="仿宋" w:eastAsia="仿宋"/>
          <w:sz w:val="32"/>
          <w:szCs w:val="32"/>
          <w:lang w:eastAsia="zh-CN"/>
        </w:rPr>
        <w:t>2019年</w:t>
      </w:r>
      <w:r>
        <w:rPr>
          <w:rFonts w:hint="eastAsia" w:ascii="仿宋" w:hAnsi="仿宋" w:eastAsia="仿宋"/>
          <w:sz w:val="32"/>
          <w:szCs w:val="32"/>
        </w:rPr>
        <w:t>预算收入总额</w:t>
      </w:r>
      <w:r>
        <w:rPr>
          <w:rFonts w:hint="eastAsia" w:ascii="仿宋" w:hAnsi="仿宋" w:eastAsia="仿宋"/>
          <w:sz w:val="32"/>
          <w:szCs w:val="32"/>
          <w:lang w:val="en-US" w:eastAsia="zh-CN"/>
        </w:rPr>
        <w:t>629.59</w:t>
      </w:r>
      <w:r>
        <w:rPr>
          <w:rFonts w:hint="eastAsia" w:ascii="仿宋" w:hAnsi="仿宋" w:eastAsia="仿宋"/>
          <w:sz w:val="32"/>
          <w:szCs w:val="32"/>
        </w:rPr>
        <w:t>万元，其中：财政拨款收入</w:t>
      </w:r>
      <w:r>
        <w:rPr>
          <w:rFonts w:hint="eastAsia" w:ascii="仿宋" w:hAnsi="仿宋" w:eastAsia="仿宋"/>
          <w:sz w:val="32"/>
          <w:szCs w:val="32"/>
          <w:lang w:val="en-US" w:eastAsia="zh-CN"/>
        </w:rPr>
        <w:t>629.59</w:t>
      </w:r>
      <w:r>
        <w:rPr>
          <w:rFonts w:hint="eastAsia" w:ascii="仿宋" w:hAnsi="仿宋" w:eastAsia="仿宋"/>
          <w:sz w:val="32"/>
          <w:szCs w:val="32"/>
        </w:rPr>
        <w:t>万元（包括一般公共预算</w:t>
      </w:r>
      <w:r>
        <w:rPr>
          <w:rFonts w:hint="eastAsia" w:ascii="仿宋" w:hAnsi="仿宋" w:eastAsia="仿宋"/>
          <w:sz w:val="32"/>
          <w:szCs w:val="32"/>
          <w:lang w:val="en-US" w:eastAsia="zh-CN"/>
        </w:rPr>
        <w:t>629.59</w:t>
      </w:r>
      <w:r>
        <w:rPr>
          <w:rFonts w:hint="eastAsia" w:ascii="仿宋" w:hAnsi="仿宋" w:eastAsia="仿宋"/>
          <w:sz w:val="32"/>
          <w:szCs w:val="32"/>
        </w:rPr>
        <w:t>万元、政府性基金预算</w:t>
      </w:r>
      <w:r>
        <w:rPr>
          <w:rFonts w:ascii="仿宋" w:hAnsi="仿宋" w:eastAsia="仿宋"/>
          <w:sz w:val="32"/>
          <w:szCs w:val="32"/>
        </w:rPr>
        <w:t>0</w:t>
      </w:r>
      <w:r>
        <w:rPr>
          <w:rFonts w:hint="eastAsia" w:ascii="仿宋" w:hAnsi="仿宋" w:eastAsia="仿宋"/>
          <w:sz w:val="32"/>
          <w:szCs w:val="32"/>
        </w:rPr>
        <w:t>万元、国有资本经营预算</w:t>
      </w:r>
      <w:r>
        <w:rPr>
          <w:rFonts w:ascii="仿宋" w:hAnsi="仿宋" w:eastAsia="仿宋"/>
          <w:sz w:val="32"/>
          <w:szCs w:val="32"/>
        </w:rPr>
        <w:t>0</w:t>
      </w:r>
      <w:r>
        <w:rPr>
          <w:rFonts w:hint="eastAsia" w:ascii="仿宋" w:hAnsi="仿宋" w:eastAsia="仿宋"/>
          <w:sz w:val="32"/>
          <w:szCs w:val="32"/>
        </w:rPr>
        <w:t>万元）、上级补助收入</w:t>
      </w:r>
      <w:r>
        <w:rPr>
          <w:rFonts w:ascii="仿宋" w:hAnsi="仿宋" w:eastAsia="仿宋"/>
          <w:sz w:val="32"/>
          <w:szCs w:val="32"/>
        </w:rPr>
        <w:t>0</w:t>
      </w:r>
      <w:r>
        <w:rPr>
          <w:rFonts w:hint="eastAsia" w:ascii="仿宋" w:hAnsi="仿宋" w:eastAsia="仿宋"/>
          <w:sz w:val="32"/>
          <w:szCs w:val="32"/>
        </w:rPr>
        <w:t>万元、事业收入</w:t>
      </w:r>
      <w:r>
        <w:rPr>
          <w:rFonts w:ascii="仿宋" w:hAnsi="仿宋" w:eastAsia="仿宋"/>
          <w:sz w:val="32"/>
          <w:szCs w:val="32"/>
        </w:rPr>
        <w:t>0</w:t>
      </w:r>
      <w:r>
        <w:rPr>
          <w:rFonts w:hint="eastAsia" w:ascii="仿宋" w:hAnsi="仿宋" w:eastAsia="仿宋"/>
          <w:sz w:val="32"/>
          <w:szCs w:val="32"/>
        </w:rPr>
        <w:t>万元、经营收入</w:t>
      </w:r>
      <w:r>
        <w:rPr>
          <w:rFonts w:ascii="仿宋" w:hAnsi="仿宋" w:eastAsia="仿宋"/>
          <w:sz w:val="32"/>
          <w:szCs w:val="32"/>
        </w:rPr>
        <w:t>0</w:t>
      </w:r>
      <w:r>
        <w:rPr>
          <w:rFonts w:hint="eastAsia" w:ascii="仿宋" w:hAnsi="仿宋" w:eastAsia="仿宋"/>
          <w:sz w:val="32"/>
          <w:szCs w:val="32"/>
        </w:rPr>
        <w:t>万元、附属单位上缴收入</w:t>
      </w:r>
      <w:r>
        <w:rPr>
          <w:rFonts w:ascii="仿宋" w:hAnsi="仿宋" w:eastAsia="仿宋"/>
          <w:sz w:val="32"/>
          <w:szCs w:val="32"/>
        </w:rPr>
        <w:t>0</w:t>
      </w:r>
      <w:r>
        <w:rPr>
          <w:rFonts w:hint="eastAsia" w:ascii="仿宋" w:hAnsi="仿宋" w:eastAsia="仿宋"/>
          <w:sz w:val="32"/>
          <w:szCs w:val="32"/>
        </w:rPr>
        <w:t>万元、其他收入</w:t>
      </w:r>
      <w:r>
        <w:rPr>
          <w:rFonts w:ascii="仿宋" w:hAnsi="仿宋" w:eastAsia="仿宋"/>
          <w:sz w:val="32"/>
          <w:szCs w:val="32"/>
        </w:rPr>
        <w:t>0</w:t>
      </w:r>
      <w:r>
        <w:rPr>
          <w:rFonts w:hint="eastAsia" w:ascii="仿宋" w:hAnsi="仿宋" w:eastAsia="仿宋"/>
          <w:sz w:val="32"/>
          <w:szCs w:val="32"/>
        </w:rPr>
        <w:t>万元。</w:t>
      </w:r>
    </w:p>
    <w:p>
      <w:pPr>
        <w:ind w:firstLine="640"/>
        <w:rPr>
          <w:rFonts w:ascii="楷体" w:hAnsi="楷体" w:eastAsia="楷体"/>
          <w:b/>
          <w:sz w:val="32"/>
          <w:szCs w:val="32"/>
        </w:rPr>
      </w:pPr>
      <w:r>
        <w:rPr>
          <w:rFonts w:ascii="楷体" w:hAnsi="楷体" w:eastAsia="楷体"/>
          <w:b/>
          <w:sz w:val="32"/>
          <w:szCs w:val="32"/>
        </w:rPr>
        <w:t>2</w:t>
      </w:r>
      <w:r>
        <w:rPr>
          <w:rFonts w:hint="eastAsia" w:ascii="楷体" w:hAnsi="楷体" w:eastAsia="楷体"/>
          <w:b/>
          <w:sz w:val="32"/>
          <w:szCs w:val="32"/>
        </w:rPr>
        <w:t>、支出说明</w:t>
      </w:r>
    </w:p>
    <w:p>
      <w:pPr>
        <w:ind w:firstLine="640"/>
        <w:rPr>
          <w:rFonts w:ascii="仿宋" w:hAnsi="仿宋" w:eastAsia="仿宋"/>
          <w:sz w:val="32"/>
          <w:szCs w:val="32"/>
        </w:rPr>
      </w:pPr>
      <w:r>
        <w:rPr>
          <w:rFonts w:hint="eastAsia" w:ascii="仿宋" w:hAnsi="仿宋" w:eastAsia="仿宋"/>
          <w:sz w:val="32"/>
          <w:szCs w:val="32"/>
        </w:rPr>
        <w:t>收支预算总表支出栏、基本支出表、项目支出表按经济分类和支出功能分类科目编制，反映香河</w:t>
      </w:r>
      <w:r>
        <w:rPr>
          <w:rFonts w:hint="eastAsia" w:ascii="仿宋" w:hAnsi="仿宋" w:eastAsia="仿宋"/>
          <w:sz w:val="32"/>
          <w:szCs w:val="32"/>
          <w:lang w:eastAsia="zh-CN"/>
        </w:rPr>
        <w:t>县委党校</w:t>
      </w:r>
      <w:r>
        <w:rPr>
          <w:rFonts w:hint="eastAsia" w:ascii="仿宋" w:hAnsi="仿宋" w:eastAsia="仿宋"/>
          <w:sz w:val="32"/>
          <w:szCs w:val="32"/>
        </w:rPr>
        <w:t>部门年度部门预算中支出预算的总体情况。</w:t>
      </w:r>
      <w:r>
        <w:rPr>
          <w:rFonts w:hint="eastAsia" w:ascii="仿宋" w:hAnsi="仿宋" w:eastAsia="仿宋"/>
          <w:sz w:val="32"/>
          <w:szCs w:val="32"/>
          <w:lang w:eastAsia="zh-CN"/>
        </w:rPr>
        <w:t>2019年</w:t>
      </w:r>
      <w:r>
        <w:rPr>
          <w:rFonts w:hint="eastAsia" w:ascii="仿宋" w:hAnsi="仿宋" w:eastAsia="仿宋"/>
          <w:sz w:val="32"/>
          <w:szCs w:val="32"/>
        </w:rPr>
        <w:t>支出预算</w:t>
      </w:r>
      <w:r>
        <w:rPr>
          <w:rFonts w:hint="eastAsia" w:ascii="仿宋" w:hAnsi="仿宋" w:eastAsia="仿宋"/>
          <w:sz w:val="32"/>
          <w:szCs w:val="32"/>
          <w:lang w:val="en-US" w:eastAsia="zh-CN"/>
        </w:rPr>
        <w:t>629.59</w:t>
      </w:r>
      <w:r>
        <w:rPr>
          <w:rFonts w:hint="eastAsia" w:ascii="仿宋" w:hAnsi="仿宋" w:eastAsia="仿宋"/>
          <w:sz w:val="32"/>
          <w:szCs w:val="32"/>
        </w:rPr>
        <w:t>万元，其中基本支出</w:t>
      </w:r>
      <w:r>
        <w:rPr>
          <w:rFonts w:hint="eastAsia" w:ascii="仿宋" w:hAnsi="仿宋" w:eastAsia="仿宋"/>
          <w:sz w:val="32"/>
          <w:szCs w:val="32"/>
          <w:lang w:val="en-US" w:eastAsia="zh-CN"/>
        </w:rPr>
        <w:t>531.35</w:t>
      </w:r>
      <w:r>
        <w:rPr>
          <w:rFonts w:hint="eastAsia" w:ascii="仿宋" w:hAnsi="仿宋" w:eastAsia="仿宋"/>
          <w:sz w:val="32"/>
          <w:szCs w:val="32"/>
        </w:rPr>
        <w:t>万元，包括人员经费</w:t>
      </w:r>
      <w:r>
        <w:rPr>
          <w:rFonts w:hint="eastAsia" w:ascii="仿宋" w:hAnsi="仿宋" w:eastAsia="仿宋"/>
          <w:sz w:val="32"/>
          <w:szCs w:val="32"/>
          <w:lang w:val="en-US" w:eastAsia="zh-CN"/>
        </w:rPr>
        <w:t>475.6</w:t>
      </w:r>
      <w:r>
        <w:rPr>
          <w:rFonts w:hint="eastAsia" w:ascii="仿宋" w:hAnsi="仿宋" w:eastAsia="仿宋"/>
          <w:sz w:val="32"/>
          <w:szCs w:val="32"/>
        </w:rPr>
        <w:t>万元和日常公用经费</w:t>
      </w:r>
      <w:r>
        <w:rPr>
          <w:rFonts w:hint="eastAsia" w:ascii="仿宋" w:hAnsi="仿宋" w:eastAsia="仿宋"/>
          <w:sz w:val="32"/>
          <w:szCs w:val="32"/>
          <w:lang w:val="en-US" w:eastAsia="zh-CN"/>
        </w:rPr>
        <w:t>55.75</w:t>
      </w:r>
      <w:r>
        <w:rPr>
          <w:rFonts w:hint="eastAsia" w:ascii="仿宋" w:hAnsi="仿宋" w:eastAsia="仿宋"/>
          <w:sz w:val="32"/>
          <w:szCs w:val="32"/>
        </w:rPr>
        <w:t>万元；项目支出</w:t>
      </w:r>
      <w:r>
        <w:rPr>
          <w:rFonts w:hint="eastAsia" w:ascii="仿宋" w:hAnsi="仿宋" w:eastAsia="仿宋"/>
          <w:sz w:val="32"/>
          <w:szCs w:val="32"/>
          <w:lang w:val="en-US" w:eastAsia="zh-CN"/>
        </w:rPr>
        <w:t>98.24</w:t>
      </w:r>
      <w:r>
        <w:rPr>
          <w:rFonts w:hint="eastAsia" w:ascii="仿宋" w:hAnsi="仿宋" w:eastAsia="仿宋"/>
          <w:sz w:val="32"/>
          <w:szCs w:val="32"/>
        </w:rPr>
        <w:t>万元，包括本级支出</w:t>
      </w:r>
      <w:r>
        <w:rPr>
          <w:rFonts w:hint="eastAsia" w:ascii="仿宋" w:hAnsi="仿宋" w:eastAsia="仿宋"/>
          <w:sz w:val="32"/>
          <w:szCs w:val="32"/>
          <w:lang w:val="en-US" w:eastAsia="zh-CN"/>
        </w:rPr>
        <w:t>98.24</w:t>
      </w:r>
      <w:r>
        <w:rPr>
          <w:rFonts w:hint="eastAsia" w:ascii="仿宋" w:hAnsi="仿宋" w:eastAsia="仿宋"/>
          <w:sz w:val="32"/>
          <w:szCs w:val="32"/>
        </w:rPr>
        <w:t>万元和对下补助支出</w:t>
      </w:r>
      <w:r>
        <w:rPr>
          <w:rFonts w:ascii="仿宋" w:hAnsi="仿宋" w:eastAsia="仿宋"/>
          <w:sz w:val="32"/>
          <w:szCs w:val="32"/>
        </w:rPr>
        <w:t>0</w:t>
      </w:r>
      <w:r>
        <w:rPr>
          <w:rFonts w:hint="eastAsia" w:ascii="仿宋" w:hAnsi="仿宋" w:eastAsia="仿宋"/>
          <w:sz w:val="32"/>
          <w:szCs w:val="32"/>
        </w:rPr>
        <w:t>万元，主要为进修及培训项目支出等；上缴上级支出</w:t>
      </w:r>
      <w:r>
        <w:rPr>
          <w:rFonts w:ascii="仿宋" w:hAnsi="仿宋" w:eastAsia="仿宋"/>
          <w:sz w:val="32"/>
          <w:szCs w:val="32"/>
        </w:rPr>
        <w:t>0</w:t>
      </w:r>
      <w:r>
        <w:rPr>
          <w:rFonts w:hint="eastAsia" w:ascii="仿宋" w:hAnsi="仿宋" w:eastAsia="仿宋"/>
          <w:sz w:val="32"/>
          <w:szCs w:val="32"/>
        </w:rPr>
        <w:t>万元；其他支出</w:t>
      </w:r>
      <w:r>
        <w:rPr>
          <w:rFonts w:ascii="仿宋" w:hAnsi="仿宋" w:eastAsia="仿宋"/>
          <w:sz w:val="32"/>
          <w:szCs w:val="32"/>
        </w:rPr>
        <w:t>0</w:t>
      </w:r>
      <w:r>
        <w:rPr>
          <w:rFonts w:hint="eastAsia" w:ascii="仿宋" w:hAnsi="仿宋" w:eastAsia="仿宋"/>
          <w:sz w:val="32"/>
          <w:szCs w:val="32"/>
        </w:rPr>
        <w:t>万元。</w:t>
      </w:r>
    </w:p>
    <w:p>
      <w:pPr>
        <w:ind w:firstLine="640"/>
        <w:rPr>
          <w:rFonts w:ascii="楷体" w:hAnsi="楷体" w:eastAsia="楷体"/>
          <w:b/>
          <w:sz w:val="32"/>
          <w:szCs w:val="32"/>
        </w:rPr>
      </w:pPr>
      <w:r>
        <w:rPr>
          <w:rFonts w:ascii="楷体" w:hAnsi="楷体" w:eastAsia="楷体"/>
          <w:b/>
          <w:sz w:val="32"/>
          <w:szCs w:val="32"/>
        </w:rPr>
        <w:t>3</w:t>
      </w:r>
      <w:r>
        <w:rPr>
          <w:rFonts w:hint="eastAsia" w:ascii="楷体" w:hAnsi="楷体" w:eastAsia="楷体"/>
          <w:b/>
          <w:sz w:val="32"/>
          <w:szCs w:val="32"/>
        </w:rPr>
        <w:t>、比上年增减情况</w:t>
      </w:r>
    </w:p>
    <w:p>
      <w:pPr>
        <w:ind w:firstLine="640"/>
        <w:rPr>
          <w:rFonts w:ascii="仿宋" w:hAnsi="仿宋" w:eastAsia="仿宋"/>
          <w:sz w:val="32"/>
          <w:szCs w:val="32"/>
        </w:rPr>
      </w:pPr>
      <w:r>
        <w:rPr>
          <w:rFonts w:hint="eastAsia" w:ascii="仿宋" w:hAnsi="仿宋" w:eastAsia="仿宋"/>
          <w:sz w:val="32"/>
          <w:szCs w:val="32"/>
          <w:lang w:eastAsia="zh-CN"/>
        </w:rPr>
        <w:t>2019年</w:t>
      </w:r>
      <w:r>
        <w:rPr>
          <w:rFonts w:hint="eastAsia" w:ascii="仿宋" w:hAnsi="仿宋" w:eastAsia="仿宋"/>
          <w:sz w:val="32"/>
          <w:szCs w:val="32"/>
        </w:rPr>
        <w:t>预算收支安排</w:t>
      </w:r>
      <w:r>
        <w:rPr>
          <w:rFonts w:hint="eastAsia" w:ascii="仿宋" w:hAnsi="仿宋" w:eastAsia="仿宋"/>
          <w:sz w:val="32"/>
          <w:szCs w:val="32"/>
          <w:lang w:val="en-US" w:eastAsia="zh-CN"/>
        </w:rPr>
        <w:t>629.59</w:t>
      </w:r>
      <w:r>
        <w:rPr>
          <w:rFonts w:hint="eastAsia" w:ascii="仿宋" w:hAnsi="仿宋" w:eastAsia="仿宋"/>
          <w:sz w:val="32"/>
          <w:szCs w:val="32"/>
        </w:rPr>
        <w:t>万元，较</w:t>
      </w:r>
      <w:r>
        <w:rPr>
          <w:rFonts w:hint="eastAsia" w:ascii="仿宋" w:hAnsi="仿宋" w:eastAsia="仿宋"/>
          <w:sz w:val="32"/>
          <w:szCs w:val="32"/>
          <w:lang w:eastAsia="zh-CN"/>
        </w:rPr>
        <w:t>2018年</w:t>
      </w:r>
      <w:r>
        <w:rPr>
          <w:rFonts w:hint="eastAsia" w:ascii="仿宋" w:hAnsi="仿宋" w:eastAsia="仿宋"/>
          <w:sz w:val="32"/>
          <w:szCs w:val="32"/>
        </w:rPr>
        <w:t>预算增加</w:t>
      </w:r>
      <w:r>
        <w:rPr>
          <w:rFonts w:hint="eastAsia" w:ascii="仿宋" w:hAnsi="仿宋" w:eastAsia="仿宋"/>
          <w:sz w:val="32"/>
          <w:szCs w:val="32"/>
          <w:lang w:val="en-US" w:eastAsia="zh-CN"/>
        </w:rPr>
        <w:t>82.69</w:t>
      </w:r>
      <w:r>
        <w:rPr>
          <w:rFonts w:hint="eastAsia" w:ascii="仿宋" w:hAnsi="仿宋" w:eastAsia="仿宋"/>
          <w:sz w:val="32"/>
          <w:szCs w:val="32"/>
        </w:rPr>
        <w:t>万元，其中：基本支出增加</w:t>
      </w:r>
      <w:r>
        <w:rPr>
          <w:rFonts w:hint="eastAsia" w:ascii="仿宋" w:hAnsi="仿宋" w:eastAsia="仿宋"/>
          <w:sz w:val="32"/>
          <w:szCs w:val="32"/>
          <w:lang w:val="en-US" w:eastAsia="zh-CN"/>
        </w:rPr>
        <w:t>48.45</w:t>
      </w:r>
      <w:r>
        <w:rPr>
          <w:rFonts w:hint="eastAsia" w:ascii="仿宋" w:hAnsi="仿宋" w:eastAsia="仿宋"/>
          <w:sz w:val="32"/>
          <w:szCs w:val="32"/>
        </w:rPr>
        <w:t>万元，主要为增加人员经费支出</w:t>
      </w:r>
      <w:r>
        <w:rPr>
          <w:rFonts w:hint="eastAsia" w:ascii="仿宋" w:hAnsi="仿宋" w:eastAsia="仿宋"/>
          <w:sz w:val="32"/>
          <w:szCs w:val="32"/>
          <w:lang w:eastAsia="zh-CN"/>
        </w:rPr>
        <w:t>和公用经费</w:t>
      </w:r>
      <w:r>
        <w:rPr>
          <w:rFonts w:hint="eastAsia" w:ascii="仿宋" w:hAnsi="仿宋" w:eastAsia="仿宋"/>
          <w:sz w:val="32"/>
          <w:szCs w:val="32"/>
        </w:rPr>
        <w:t>；项目支出</w:t>
      </w:r>
      <w:r>
        <w:rPr>
          <w:rFonts w:hint="eastAsia" w:ascii="仿宋" w:hAnsi="仿宋" w:eastAsia="仿宋"/>
          <w:sz w:val="32"/>
          <w:szCs w:val="32"/>
          <w:lang w:eastAsia="zh-CN"/>
        </w:rPr>
        <w:t>增加</w:t>
      </w:r>
      <w:r>
        <w:rPr>
          <w:rFonts w:hint="eastAsia" w:ascii="仿宋" w:hAnsi="仿宋" w:eastAsia="仿宋"/>
          <w:sz w:val="32"/>
          <w:szCs w:val="32"/>
          <w:lang w:val="en-US" w:eastAsia="zh-CN"/>
        </w:rPr>
        <w:t>34.24</w:t>
      </w:r>
      <w:r>
        <w:rPr>
          <w:rFonts w:hint="eastAsia" w:ascii="仿宋" w:hAnsi="仿宋" w:eastAsia="仿宋"/>
          <w:sz w:val="32"/>
          <w:szCs w:val="32"/>
        </w:rPr>
        <w:t>万元，主要</w:t>
      </w:r>
      <w:r>
        <w:rPr>
          <w:rFonts w:hint="eastAsia" w:ascii="仿宋" w:hAnsi="仿宋" w:eastAsia="仿宋"/>
          <w:sz w:val="32"/>
          <w:szCs w:val="32"/>
          <w:lang w:eastAsia="zh-CN"/>
        </w:rPr>
        <w:t>增加培训</w:t>
      </w:r>
      <w:r>
        <w:rPr>
          <w:rFonts w:hint="eastAsia" w:ascii="仿宋" w:hAnsi="仿宋" w:eastAsia="仿宋"/>
          <w:sz w:val="32"/>
          <w:szCs w:val="32"/>
        </w:rPr>
        <w:t>项目支出。</w:t>
      </w:r>
    </w:p>
    <w:p>
      <w:pPr>
        <w:ind w:firstLine="640"/>
        <w:rPr>
          <w:rFonts w:ascii="黑体" w:hAnsi="黑体" w:eastAsia="黑体"/>
          <w:sz w:val="32"/>
          <w:szCs w:val="32"/>
        </w:rPr>
      </w:pPr>
      <w:r>
        <w:rPr>
          <w:rFonts w:hint="eastAsia" w:ascii="黑体" w:hAnsi="黑体" w:eastAsia="黑体"/>
          <w:sz w:val="32"/>
          <w:szCs w:val="32"/>
        </w:rPr>
        <w:t>三、机关运行经费安排情况</w:t>
      </w:r>
    </w:p>
    <w:p>
      <w:pPr>
        <w:autoSpaceDE w:val="0"/>
        <w:autoSpaceDN w:val="0"/>
        <w:adjustRightInd w:val="0"/>
        <w:ind w:left="198" w:firstLine="640" w:firstLineChars="200"/>
        <w:jc w:val="left"/>
        <w:rPr>
          <w:rFonts w:ascii="仿宋" w:hAnsi="仿宋" w:eastAsia="仿宋"/>
          <w:color w:val="FF0000"/>
          <w:sz w:val="32"/>
          <w:szCs w:val="32"/>
        </w:rPr>
      </w:pPr>
      <w:r>
        <w:rPr>
          <w:rFonts w:hint="eastAsia" w:ascii="仿宋" w:hAnsi="仿宋" w:eastAsia="仿宋"/>
          <w:sz w:val="32"/>
          <w:szCs w:val="32"/>
          <w:lang w:eastAsia="zh-CN"/>
        </w:rPr>
        <w:t>2019年</w:t>
      </w:r>
      <w:r>
        <w:rPr>
          <w:rFonts w:hint="eastAsia" w:ascii="仿宋" w:hAnsi="仿宋" w:eastAsia="仿宋"/>
          <w:sz w:val="32"/>
          <w:szCs w:val="32"/>
        </w:rPr>
        <w:t>机关运行经费共计安排</w:t>
      </w:r>
      <w:r>
        <w:rPr>
          <w:rFonts w:hint="eastAsia" w:ascii="仿宋" w:hAnsi="仿宋" w:eastAsia="仿宋"/>
          <w:sz w:val="32"/>
          <w:szCs w:val="32"/>
          <w:lang w:val="en-US" w:eastAsia="zh-CN"/>
        </w:rPr>
        <w:t>55.75</w:t>
      </w:r>
      <w:r>
        <w:rPr>
          <w:rFonts w:hint="eastAsia" w:ascii="仿宋" w:hAnsi="仿宋" w:eastAsia="仿宋"/>
          <w:sz w:val="32"/>
          <w:szCs w:val="32"/>
        </w:rPr>
        <w:t>万元，主要用于党校办公区的日常维修、办公用房水电费、办公用房取暖费、办公用房物业管理费等日常运行支出。</w:t>
      </w:r>
    </w:p>
    <w:p>
      <w:pPr>
        <w:ind w:firstLine="640"/>
        <w:rPr>
          <w:rFonts w:ascii="黑体" w:hAnsi="黑体" w:eastAsia="黑体"/>
          <w:sz w:val="32"/>
          <w:szCs w:val="32"/>
        </w:rPr>
      </w:pPr>
      <w:r>
        <w:rPr>
          <w:rFonts w:hint="eastAsia" w:ascii="黑体" w:hAnsi="黑体" w:eastAsia="黑体"/>
          <w:sz w:val="32"/>
          <w:szCs w:val="32"/>
        </w:rPr>
        <w:t>四、财政拨款“三公”经费预算情况及增减变化原因</w:t>
      </w:r>
    </w:p>
    <w:p>
      <w:pPr>
        <w:autoSpaceDE w:val="0"/>
        <w:autoSpaceDN w:val="0"/>
        <w:adjustRightInd w:val="0"/>
        <w:spacing w:line="560" w:lineRule="exact"/>
        <w:ind w:left="198" w:firstLine="640" w:firstLineChars="200"/>
        <w:rPr>
          <w:rFonts w:ascii="仿宋" w:hAnsi="仿宋" w:eastAsia="仿宋"/>
          <w:sz w:val="32"/>
          <w:szCs w:val="32"/>
        </w:rPr>
      </w:pPr>
      <w:r>
        <w:rPr>
          <w:rFonts w:hint="eastAsia" w:ascii="仿宋" w:hAnsi="仿宋" w:eastAsia="仿宋"/>
          <w:sz w:val="32"/>
          <w:szCs w:val="32"/>
          <w:lang w:eastAsia="zh-CN"/>
        </w:rPr>
        <w:t>2019年</w:t>
      </w:r>
      <w:r>
        <w:rPr>
          <w:rFonts w:hint="eastAsia" w:ascii="仿宋" w:hAnsi="仿宋" w:eastAsia="仿宋"/>
          <w:sz w:val="32"/>
          <w:szCs w:val="32"/>
        </w:rPr>
        <w:t>，本部门</w:t>
      </w:r>
      <w:r>
        <w:rPr>
          <w:rFonts w:ascii="仿宋" w:hAnsi="仿宋" w:eastAsia="仿宋"/>
          <w:sz w:val="32"/>
          <w:szCs w:val="32"/>
        </w:rPr>
        <w:t xml:space="preserve"> </w:t>
      </w:r>
      <w:r>
        <w:rPr>
          <w:rFonts w:hint="eastAsia" w:ascii="仿宋" w:hAnsi="仿宋" w:eastAsia="仿宋"/>
          <w:sz w:val="32"/>
          <w:szCs w:val="32"/>
        </w:rPr>
        <w:t>“三公”经费预算安排</w:t>
      </w:r>
      <w:r>
        <w:rPr>
          <w:rFonts w:ascii="仿宋" w:hAnsi="仿宋" w:eastAsia="仿宋"/>
          <w:sz w:val="32"/>
          <w:szCs w:val="32"/>
        </w:rPr>
        <w:t>1.9</w:t>
      </w:r>
      <w:r>
        <w:rPr>
          <w:rFonts w:hint="eastAsia" w:ascii="仿宋" w:hAnsi="仿宋" w:eastAsia="仿宋"/>
          <w:sz w:val="32"/>
          <w:szCs w:val="32"/>
        </w:rPr>
        <w:t>万元</w:t>
      </w:r>
      <w:r>
        <w:rPr>
          <w:rFonts w:hint="eastAsia" w:ascii="方正仿宋_GBK" w:hAnsi="宋体" w:eastAsia="方正仿宋_GBK" w:cs="宋体"/>
          <w:color w:val="000000"/>
          <w:kern w:val="0"/>
          <w:sz w:val="32"/>
          <w:szCs w:val="32"/>
        </w:rPr>
        <w:t>（</w:t>
      </w:r>
      <w:r>
        <w:rPr>
          <w:rFonts w:hint="eastAsia" w:ascii="仿宋" w:hAnsi="仿宋" w:eastAsia="仿宋"/>
          <w:sz w:val="32"/>
          <w:szCs w:val="32"/>
        </w:rPr>
        <w:t>包括一般公共预算</w:t>
      </w:r>
      <w:r>
        <w:rPr>
          <w:rFonts w:ascii="仿宋" w:hAnsi="仿宋" w:eastAsia="仿宋"/>
          <w:sz w:val="32"/>
          <w:szCs w:val="32"/>
        </w:rPr>
        <w:t>1.9</w:t>
      </w:r>
      <w:r>
        <w:rPr>
          <w:rFonts w:hint="eastAsia" w:ascii="仿宋" w:hAnsi="仿宋" w:eastAsia="仿宋"/>
          <w:sz w:val="32"/>
          <w:szCs w:val="32"/>
        </w:rPr>
        <w:t>万元、政府性基金预算</w:t>
      </w:r>
      <w:r>
        <w:rPr>
          <w:rFonts w:ascii="仿宋" w:hAnsi="仿宋" w:eastAsia="仿宋"/>
          <w:sz w:val="32"/>
          <w:szCs w:val="32"/>
        </w:rPr>
        <w:t>0</w:t>
      </w:r>
      <w:r>
        <w:rPr>
          <w:rFonts w:hint="eastAsia" w:ascii="仿宋" w:hAnsi="仿宋" w:eastAsia="仿宋"/>
          <w:sz w:val="32"/>
          <w:szCs w:val="32"/>
        </w:rPr>
        <w:t>万元、国有资本经营预算</w:t>
      </w:r>
      <w:r>
        <w:rPr>
          <w:rFonts w:ascii="仿宋" w:hAnsi="仿宋" w:eastAsia="仿宋"/>
          <w:sz w:val="32"/>
          <w:szCs w:val="32"/>
        </w:rPr>
        <w:t>0</w:t>
      </w:r>
      <w:r>
        <w:rPr>
          <w:rFonts w:hint="eastAsia" w:ascii="仿宋" w:hAnsi="仿宋" w:eastAsia="仿宋"/>
          <w:sz w:val="32"/>
          <w:szCs w:val="32"/>
        </w:rPr>
        <w:t>万元和财政专户核拨资金</w:t>
      </w:r>
      <w:r>
        <w:rPr>
          <w:rFonts w:ascii="仿宋" w:hAnsi="仿宋" w:eastAsia="仿宋"/>
          <w:sz w:val="32"/>
          <w:szCs w:val="32"/>
        </w:rPr>
        <w:t>0</w:t>
      </w:r>
      <w:r>
        <w:rPr>
          <w:rFonts w:hint="eastAsia" w:ascii="仿宋" w:hAnsi="仿宋" w:eastAsia="仿宋"/>
          <w:sz w:val="32"/>
          <w:szCs w:val="32"/>
        </w:rPr>
        <w:t>万元），其中因公出国（境）费</w:t>
      </w:r>
      <w:r>
        <w:rPr>
          <w:rFonts w:ascii="仿宋" w:hAnsi="仿宋" w:eastAsia="仿宋"/>
          <w:sz w:val="32"/>
          <w:szCs w:val="32"/>
        </w:rPr>
        <w:t>0</w:t>
      </w:r>
      <w:r>
        <w:rPr>
          <w:rFonts w:hint="eastAsia" w:ascii="仿宋" w:hAnsi="仿宋" w:eastAsia="仿宋"/>
          <w:sz w:val="32"/>
          <w:szCs w:val="32"/>
        </w:rPr>
        <w:t>万元，与</w:t>
      </w:r>
      <w:r>
        <w:rPr>
          <w:rFonts w:hint="eastAsia" w:ascii="仿宋" w:hAnsi="仿宋" w:eastAsia="仿宋"/>
          <w:sz w:val="32"/>
          <w:szCs w:val="32"/>
          <w:lang w:eastAsia="zh-CN"/>
        </w:rPr>
        <w:t>2018年</w:t>
      </w:r>
      <w:r>
        <w:rPr>
          <w:rFonts w:hint="eastAsia" w:ascii="仿宋" w:hAnsi="仿宋" w:eastAsia="仿宋"/>
          <w:sz w:val="32"/>
          <w:szCs w:val="32"/>
        </w:rPr>
        <w:t>持平，无增减变化；公务用车购置及运维费</w:t>
      </w:r>
      <w:r>
        <w:rPr>
          <w:rFonts w:ascii="仿宋" w:hAnsi="仿宋" w:eastAsia="仿宋"/>
          <w:sz w:val="32"/>
          <w:szCs w:val="32"/>
        </w:rPr>
        <w:t>1.9</w:t>
      </w:r>
      <w:r>
        <w:rPr>
          <w:rFonts w:hint="eastAsia" w:ascii="仿宋" w:hAnsi="仿宋" w:eastAsia="仿宋"/>
          <w:sz w:val="32"/>
          <w:szCs w:val="32"/>
        </w:rPr>
        <w:t>万元（其中：公务用车购置费为</w:t>
      </w:r>
      <w:r>
        <w:rPr>
          <w:rFonts w:ascii="仿宋" w:hAnsi="仿宋" w:eastAsia="仿宋"/>
          <w:sz w:val="32"/>
          <w:szCs w:val="32"/>
        </w:rPr>
        <w:t>0</w:t>
      </w:r>
      <w:r>
        <w:rPr>
          <w:rFonts w:hint="eastAsia" w:ascii="仿宋" w:hAnsi="仿宋" w:eastAsia="仿宋"/>
          <w:sz w:val="32"/>
          <w:szCs w:val="32"/>
        </w:rPr>
        <w:t>万元，公务用车运行费</w:t>
      </w:r>
      <w:r>
        <w:rPr>
          <w:rFonts w:ascii="仿宋" w:hAnsi="仿宋" w:eastAsia="仿宋"/>
          <w:sz w:val="32"/>
          <w:szCs w:val="32"/>
        </w:rPr>
        <w:t>1.9</w:t>
      </w:r>
      <w:r>
        <w:rPr>
          <w:rFonts w:hint="eastAsia" w:ascii="仿宋" w:hAnsi="仿宋" w:eastAsia="仿宋"/>
          <w:sz w:val="32"/>
          <w:szCs w:val="32"/>
        </w:rPr>
        <w:t>万元</w:t>
      </w:r>
      <w:r>
        <w:rPr>
          <w:rFonts w:ascii="仿宋" w:hAnsi="仿宋" w:eastAsia="仿宋"/>
          <w:sz w:val="32"/>
          <w:szCs w:val="32"/>
        </w:rPr>
        <w:t>)</w:t>
      </w:r>
      <w:r>
        <w:rPr>
          <w:rFonts w:hint="eastAsia" w:ascii="仿宋" w:hAnsi="仿宋" w:eastAsia="仿宋"/>
          <w:sz w:val="32"/>
          <w:szCs w:val="32"/>
        </w:rPr>
        <w:t>，与</w:t>
      </w:r>
      <w:r>
        <w:rPr>
          <w:rFonts w:hint="eastAsia" w:ascii="仿宋" w:hAnsi="仿宋" w:eastAsia="仿宋"/>
          <w:sz w:val="32"/>
          <w:szCs w:val="32"/>
          <w:lang w:eastAsia="zh-CN"/>
        </w:rPr>
        <w:t>2018年</w:t>
      </w:r>
      <w:r>
        <w:rPr>
          <w:rFonts w:hint="eastAsia" w:ascii="仿宋" w:hAnsi="仿宋" w:eastAsia="仿宋"/>
          <w:sz w:val="32"/>
          <w:szCs w:val="32"/>
        </w:rPr>
        <w:t>持平，无增减变化；公务接待费</w:t>
      </w:r>
      <w:r>
        <w:rPr>
          <w:rFonts w:ascii="仿宋" w:hAnsi="仿宋" w:eastAsia="仿宋"/>
          <w:sz w:val="32"/>
          <w:szCs w:val="32"/>
        </w:rPr>
        <w:t>0</w:t>
      </w:r>
      <w:r>
        <w:rPr>
          <w:rFonts w:hint="eastAsia" w:ascii="仿宋" w:hAnsi="仿宋" w:eastAsia="仿宋"/>
          <w:sz w:val="32"/>
          <w:szCs w:val="32"/>
        </w:rPr>
        <w:t>万元，与</w:t>
      </w:r>
      <w:r>
        <w:rPr>
          <w:rFonts w:hint="eastAsia" w:ascii="仿宋" w:hAnsi="仿宋" w:eastAsia="仿宋"/>
          <w:sz w:val="32"/>
          <w:szCs w:val="32"/>
          <w:lang w:eastAsia="zh-CN"/>
        </w:rPr>
        <w:t>2018年</w:t>
      </w:r>
      <w:r>
        <w:rPr>
          <w:rFonts w:hint="eastAsia" w:ascii="仿宋" w:hAnsi="仿宋" w:eastAsia="仿宋"/>
          <w:sz w:val="32"/>
          <w:szCs w:val="32"/>
        </w:rPr>
        <w:t>持平</w:t>
      </w:r>
      <w:r>
        <w:rPr>
          <w:rFonts w:ascii="仿宋" w:hAnsi="仿宋" w:eastAsia="仿宋"/>
          <w:sz w:val="32"/>
          <w:szCs w:val="32"/>
        </w:rPr>
        <w:t>,</w:t>
      </w:r>
      <w:r>
        <w:rPr>
          <w:rFonts w:hint="eastAsia" w:ascii="仿宋" w:hAnsi="仿宋" w:eastAsia="仿宋"/>
          <w:sz w:val="32"/>
          <w:szCs w:val="32"/>
        </w:rPr>
        <w:t>无增减变化。</w:t>
      </w:r>
    </w:p>
    <w:p>
      <w:pPr>
        <w:ind w:firstLine="640"/>
        <w:rPr>
          <w:rFonts w:ascii="黑体" w:hAnsi="黑体" w:eastAsia="黑体"/>
          <w:sz w:val="32"/>
          <w:szCs w:val="32"/>
        </w:rPr>
      </w:pPr>
      <w:r>
        <w:rPr>
          <w:rFonts w:hint="eastAsia" w:ascii="黑体" w:hAnsi="黑体" w:eastAsia="黑体"/>
          <w:sz w:val="32"/>
          <w:szCs w:val="32"/>
        </w:rPr>
        <w:t>五、绩效预算信息</w:t>
      </w:r>
    </w:p>
    <w:p>
      <w:pPr>
        <w:ind w:firstLine="643" w:firstLineChars="200"/>
        <w:jc w:val="left"/>
        <w:rPr>
          <w:rFonts w:ascii="宋体"/>
          <w:b/>
          <w:sz w:val="32"/>
          <w:szCs w:val="32"/>
        </w:rPr>
      </w:pPr>
      <w:bookmarkStart w:id="0" w:name="_Toc471398463"/>
      <w:r>
        <w:rPr>
          <w:rFonts w:hint="eastAsia" w:ascii="宋体" w:hAnsi="宋体"/>
          <w:b/>
          <w:sz w:val="32"/>
          <w:szCs w:val="32"/>
        </w:rPr>
        <w:t>总体绩效目标：</w:t>
      </w:r>
    </w:p>
    <w:p>
      <w:pPr>
        <w:ind w:firstLine="640" w:firstLineChars="200"/>
        <w:jc w:val="left"/>
        <w:rPr>
          <w:rFonts w:ascii="仿宋" w:hAnsi="仿宋" w:eastAsia="仿宋"/>
          <w:sz w:val="32"/>
          <w:szCs w:val="32"/>
        </w:rPr>
      </w:pPr>
      <w:r>
        <w:rPr>
          <w:rFonts w:hint="eastAsia" w:ascii="仿宋" w:hAnsi="仿宋" w:eastAsia="仿宋"/>
          <w:sz w:val="32"/>
          <w:szCs w:val="32"/>
        </w:rPr>
        <w:t>通过不断提高教学水平、完善教学设施、优化教学布局、丰富教学手段，围绕党和国家工作大局，按照实事求是、与时俱进、艰苦奋斗、执政为民的要求，培养忠诚于中国特色社会主义事业，德才兼备的党员领导干部和理论干部，有效提高干部的理论水平、思想觉悟和执政能力。</w:t>
      </w:r>
    </w:p>
    <w:p>
      <w:pPr>
        <w:ind w:firstLine="640" w:firstLineChars="200"/>
        <w:jc w:val="left"/>
        <w:outlineLvl w:val="0"/>
        <w:rPr>
          <w:rFonts w:ascii="仿宋" w:hAnsi="仿宋" w:eastAsia="仿宋"/>
          <w:sz w:val="32"/>
          <w:szCs w:val="32"/>
        </w:rPr>
      </w:pPr>
      <w:r>
        <w:rPr>
          <w:rFonts w:hint="eastAsia" w:ascii="仿宋" w:hAnsi="仿宋" w:eastAsia="仿宋"/>
          <w:sz w:val="32"/>
          <w:szCs w:val="32"/>
        </w:rPr>
        <w:t>部门职责及工作活动绩效目标指标：</w:t>
      </w:r>
    </w:p>
    <w:p>
      <w:pPr>
        <w:autoSpaceDE w:val="0"/>
        <w:autoSpaceDN w:val="0"/>
        <w:adjustRightInd w:val="0"/>
        <w:ind w:left="198" w:firstLine="640" w:firstLineChars="200"/>
        <w:jc w:val="left"/>
        <w:rPr>
          <w:rFonts w:ascii="仿宋" w:hAnsi="仿宋" w:eastAsia="仿宋"/>
          <w:sz w:val="32"/>
          <w:szCs w:val="32"/>
        </w:rPr>
      </w:pPr>
    </w:p>
    <w:p>
      <w:pPr>
        <w:jc w:val="center"/>
        <w:outlineLvl w:val="0"/>
        <w:rPr>
          <w:rFonts w:ascii="方正小标宋_GBK" w:hAnsi="Times New Roman" w:eastAsia="方正小标宋_GBK"/>
          <w:sz w:val="32"/>
          <w:szCs w:val="24"/>
        </w:rPr>
      </w:pPr>
    </w:p>
    <w:p>
      <w:pPr>
        <w:jc w:val="center"/>
        <w:outlineLvl w:val="0"/>
        <w:rPr>
          <w:rFonts w:ascii="方正小标宋_GBK" w:eastAsia="方正小标宋_GBK"/>
          <w:sz w:val="32"/>
        </w:rPr>
      </w:pPr>
      <w:bookmarkStart w:id="1" w:name="_Toc478647361"/>
      <w:r>
        <w:rPr>
          <w:rFonts w:hint="eastAsia" w:ascii="宋体" w:hAnsi="宋体" w:cs="宋体"/>
          <w:sz w:val="32"/>
        </w:rPr>
        <w:t>部门职责</w:t>
      </w:r>
      <w:r>
        <w:rPr>
          <w:rFonts w:ascii="方正小标宋_GBK" w:eastAsia="方正小标宋_GBK"/>
          <w:sz w:val="32"/>
        </w:rPr>
        <w:t>-</w:t>
      </w:r>
      <w:r>
        <w:rPr>
          <w:rFonts w:hint="eastAsia" w:ascii="宋体" w:hAnsi="宋体" w:cs="宋体"/>
          <w:sz w:val="32"/>
        </w:rPr>
        <w:t>工作活动绩效目标</w:t>
      </w:r>
      <w:bookmarkEnd w:id="1"/>
    </w:p>
    <w:tbl>
      <w:tblPr>
        <w:tblStyle w:val="6"/>
        <w:tblW w:w="1393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41"/>
        <w:gridCol w:w="1276"/>
        <w:gridCol w:w="2976"/>
        <w:gridCol w:w="2976"/>
        <w:gridCol w:w="1417"/>
        <w:gridCol w:w="737"/>
        <w:gridCol w:w="737"/>
        <w:gridCol w:w="737"/>
        <w:gridCol w:w="7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10986" w:type="dxa"/>
            <w:gridSpan w:val="5"/>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小标宋_GBK" w:eastAsia="方正小标宋_GBK"/>
                <w:sz w:val="24"/>
              </w:rPr>
            </w:pPr>
            <w:r>
              <w:rPr>
                <w:rFonts w:ascii="方正小标宋_GBK" w:eastAsia="方正小标宋_GBK"/>
                <w:sz w:val="24"/>
              </w:rPr>
              <w:t>281</w:t>
            </w:r>
            <w:r>
              <w:rPr>
                <w:rFonts w:hint="eastAsia" w:ascii="方正小标宋_GBK" w:eastAsia="方正小标宋_GBK"/>
                <w:sz w:val="24"/>
              </w:rPr>
              <w:t>县党校</w:t>
            </w:r>
          </w:p>
        </w:tc>
        <w:tc>
          <w:tcPr>
            <w:tcW w:w="2948" w:type="dxa"/>
            <w:gridSpan w:val="4"/>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sz w:val="24"/>
              </w:rPr>
            </w:pPr>
            <w:r>
              <w:rPr>
                <w:rFonts w:hint="eastAsia" w:ascii="方正书宋_GBK" w:eastAsia="方正书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2341"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职责活动</w:t>
            </w:r>
          </w:p>
        </w:tc>
        <w:tc>
          <w:tcPr>
            <w:tcW w:w="1276"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年度预算数</w:t>
            </w:r>
          </w:p>
        </w:tc>
        <w:tc>
          <w:tcPr>
            <w:tcW w:w="2976"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内容描述</w:t>
            </w:r>
          </w:p>
        </w:tc>
        <w:tc>
          <w:tcPr>
            <w:tcW w:w="2976"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417"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w:t>
            </w:r>
          </w:p>
        </w:tc>
        <w:tc>
          <w:tcPr>
            <w:tcW w:w="2948" w:type="dxa"/>
            <w:gridSpan w:val="4"/>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2341" w:type="dxa"/>
            <w:vMerge w:val="continue"/>
            <w:shd w:val="clear" w:color="auto" w:fill="auto"/>
            <w:noWrap w:val="0"/>
            <w:vAlign w:val="center"/>
          </w:tcPr>
          <w:p>
            <w:pPr>
              <w:spacing w:line="300" w:lineRule="exact"/>
              <w:jc w:val="left"/>
              <w:outlineLvl w:val="0"/>
            </w:pPr>
          </w:p>
        </w:tc>
        <w:tc>
          <w:tcPr>
            <w:tcW w:w="1276" w:type="dxa"/>
            <w:vMerge w:val="continue"/>
            <w:shd w:val="clear" w:color="auto" w:fill="auto"/>
            <w:noWrap w:val="0"/>
            <w:vAlign w:val="center"/>
          </w:tcPr>
          <w:p>
            <w:pPr>
              <w:spacing w:line="300" w:lineRule="exact"/>
              <w:jc w:val="left"/>
              <w:outlineLvl w:val="0"/>
            </w:pPr>
          </w:p>
        </w:tc>
        <w:tc>
          <w:tcPr>
            <w:tcW w:w="2976" w:type="dxa"/>
            <w:vMerge w:val="continue"/>
            <w:shd w:val="clear" w:color="auto" w:fill="auto"/>
            <w:noWrap w:val="0"/>
            <w:vAlign w:val="center"/>
          </w:tcPr>
          <w:p>
            <w:pPr>
              <w:spacing w:line="300" w:lineRule="exact"/>
              <w:jc w:val="left"/>
              <w:outlineLvl w:val="0"/>
            </w:pPr>
          </w:p>
        </w:tc>
        <w:tc>
          <w:tcPr>
            <w:tcW w:w="2976" w:type="dxa"/>
            <w:vMerge w:val="continue"/>
            <w:shd w:val="clear" w:color="auto" w:fill="auto"/>
            <w:noWrap w:val="0"/>
            <w:vAlign w:val="center"/>
          </w:tcPr>
          <w:p>
            <w:pPr>
              <w:spacing w:line="300" w:lineRule="exact"/>
              <w:jc w:val="left"/>
              <w:outlineLvl w:val="0"/>
            </w:pPr>
          </w:p>
        </w:tc>
        <w:tc>
          <w:tcPr>
            <w:tcW w:w="1417" w:type="dxa"/>
            <w:vMerge w:val="continue"/>
            <w:shd w:val="clear" w:color="auto" w:fill="auto"/>
            <w:noWrap w:val="0"/>
            <w:vAlign w:val="center"/>
          </w:tcPr>
          <w:p>
            <w:pPr>
              <w:spacing w:line="300" w:lineRule="exact"/>
              <w:jc w:val="left"/>
              <w:outlineLvl w:val="0"/>
            </w:pPr>
          </w:p>
        </w:tc>
        <w:tc>
          <w:tcPr>
            <w:tcW w:w="73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优</w:t>
            </w:r>
          </w:p>
        </w:tc>
        <w:tc>
          <w:tcPr>
            <w:tcW w:w="73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良</w:t>
            </w:r>
          </w:p>
        </w:tc>
        <w:tc>
          <w:tcPr>
            <w:tcW w:w="73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中</w:t>
            </w:r>
          </w:p>
        </w:tc>
        <w:tc>
          <w:tcPr>
            <w:tcW w:w="73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noWrap w:val="0"/>
            <w:vAlign w:val="center"/>
          </w:tcPr>
          <w:p>
            <w:pPr>
              <w:spacing w:line="300" w:lineRule="exact"/>
              <w:jc w:val="left"/>
              <w:rPr>
                <w:rFonts w:ascii="方正书宋_GBK" w:eastAsia="方正书宋_GBK"/>
                <w:b/>
              </w:rPr>
            </w:pPr>
            <w:r>
              <w:rPr>
                <w:rFonts w:hint="eastAsia" w:ascii="方正书宋_GBK" w:eastAsia="方正书宋_GBK"/>
                <w:b/>
              </w:rPr>
              <w:t>一、培训教育</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98.24</w:t>
            </w:r>
          </w:p>
        </w:tc>
        <w:tc>
          <w:tcPr>
            <w:tcW w:w="29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根据县委、县政府有关要求，有计划地轮训和培训全县各级党政领导干部和理论骨干，负责对学员在党校学习期间的表现进行考核</w:t>
            </w:r>
          </w:p>
        </w:tc>
        <w:tc>
          <w:tcPr>
            <w:tcW w:w="29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通过不断提高教学水平、完善教学设施、优化教学布局、丰富教学手段，围绕党和国家工作大局，按照实事求是、与时俱进、艰苦奋斗、执政为民的要求，培养忠诚于中国特色社会主义事业、德才兼备的党员领导干部和理论干部，有效提高干部的政策理论水平、思想觉悟和执政能力</w:t>
            </w:r>
          </w:p>
        </w:tc>
        <w:tc>
          <w:tcPr>
            <w:tcW w:w="1417" w:type="dxa"/>
            <w:shd w:val="clear" w:color="auto" w:fill="auto"/>
            <w:noWrap w:val="0"/>
            <w:vAlign w:val="center"/>
          </w:tcPr>
          <w:p>
            <w:pPr>
              <w:spacing w:line="300" w:lineRule="exact"/>
              <w:jc w:val="left"/>
              <w:rPr>
                <w:rFonts w:ascii="方正书宋_GBK" w:eastAsia="方正书宋_GBK"/>
              </w:rPr>
            </w:pPr>
          </w:p>
        </w:tc>
        <w:tc>
          <w:tcPr>
            <w:tcW w:w="737" w:type="dxa"/>
            <w:shd w:val="clear" w:color="auto" w:fill="auto"/>
            <w:noWrap w:val="0"/>
            <w:vAlign w:val="center"/>
          </w:tcPr>
          <w:p>
            <w:pPr>
              <w:spacing w:line="300" w:lineRule="exact"/>
              <w:jc w:val="center"/>
              <w:rPr>
                <w:rFonts w:ascii="方正书宋_GBK" w:eastAsia="方正书宋_GBK"/>
              </w:rPr>
            </w:pPr>
          </w:p>
        </w:tc>
        <w:tc>
          <w:tcPr>
            <w:tcW w:w="737" w:type="dxa"/>
            <w:shd w:val="clear" w:color="auto" w:fill="auto"/>
            <w:noWrap w:val="0"/>
            <w:vAlign w:val="center"/>
          </w:tcPr>
          <w:p>
            <w:pPr>
              <w:spacing w:line="300" w:lineRule="exact"/>
              <w:jc w:val="center"/>
              <w:rPr>
                <w:rFonts w:ascii="方正书宋_GBK" w:eastAsia="方正书宋_GBK"/>
              </w:rPr>
            </w:pPr>
          </w:p>
        </w:tc>
        <w:tc>
          <w:tcPr>
            <w:tcW w:w="737" w:type="dxa"/>
            <w:shd w:val="clear" w:color="auto" w:fill="auto"/>
            <w:noWrap w:val="0"/>
            <w:vAlign w:val="center"/>
          </w:tcPr>
          <w:p>
            <w:pPr>
              <w:spacing w:line="300" w:lineRule="exact"/>
              <w:jc w:val="center"/>
              <w:rPr>
                <w:rFonts w:ascii="方正书宋_GBK" w:eastAsia="方正书宋_GBK"/>
              </w:rPr>
            </w:pPr>
          </w:p>
        </w:tc>
        <w:tc>
          <w:tcPr>
            <w:tcW w:w="737" w:type="dxa"/>
            <w:shd w:val="clear" w:color="auto" w:fill="auto"/>
            <w:noWrap w:val="0"/>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、组织培训班</w:t>
            </w:r>
          </w:p>
        </w:tc>
        <w:tc>
          <w:tcPr>
            <w:tcW w:w="1276" w:type="dxa"/>
            <w:vMerge w:val="restart"/>
            <w:shd w:val="clear" w:color="auto" w:fill="auto"/>
            <w:noWrap w:val="0"/>
            <w:vAlign w:val="center"/>
          </w:tcPr>
          <w:p>
            <w:pPr>
              <w:spacing w:line="300" w:lineRule="exact"/>
              <w:jc w:val="left"/>
              <w:rPr>
                <w:rFonts w:ascii="方正书宋_GBK" w:eastAsia="方正书宋_GBK"/>
              </w:rPr>
            </w:pPr>
            <w:r>
              <w:rPr>
                <w:rFonts w:ascii="方正书宋_GBK" w:eastAsia="方正书宋_GBK"/>
              </w:rPr>
              <w:t>70.00</w:t>
            </w:r>
          </w:p>
        </w:tc>
        <w:tc>
          <w:tcPr>
            <w:tcW w:w="2976" w:type="dxa"/>
            <w:vMerge w:val="restar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根据县委组织部干训计划，培训轮训领导干部和理论骨干；受县委、县政府及有关职能部门委托举办各种专题培训、研讨班</w:t>
            </w:r>
          </w:p>
        </w:tc>
        <w:tc>
          <w:tcPr>
            <w:tcW w:w="2976" w:type="dxa"/>
            <w:vMerge w:val="restar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通过外请专家、学者授课，开拓学员思路；通过开展现场教学、情景模拟教学、案例教学、特色教学，有效提高培训质量，提高学员解决实际问题的能力</w:t>
            </w:r>
          </w:p>
        </w:tc>
        <w:tc>
          <w:tcPr>
            <w:tcW w:w="1417"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学员教学满意率</w:t>
            </w:r>
            <w:r>
              <w:rPr>
                <w:rFonts w:ascii="方正书宋_GBK" w:eastAsia="方正书宋_GBK"/>
              </w:rPr>
              <w:t>%</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r>
              <w:rPr>
                <w:rFonts w:hint="eastAsia" w:ascii="方正书宋_GBK" w:eastAsia="方正书宋_GBK"/>
              </w:rPr>
              <w:t>％</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r>
              <w:rPr>
                <w:rFonts w:hint="eastAsia" w:ascii="方正书宋_GBK" w:eastAsia="方正书宋_GBK"/>
              </w:rPr>
              <w:t>％</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&lt;70</w:t>
            </w:r>
            <w:r>
              <w:rPr>
                <w:rFonts w:hint="eastAsia" w:ascii="方正书宋_GBK" w:eastAsia="方正书宋_GBK"/>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noWrap w:val="0"/>
            <w:vAlign w:val="center"/>
          </w:tcPr>
          <w:p>
            <w:pPr>
              <w:spacing w:line="300" w:lineRule="exact"/>
              <w:jc w:val="left"/>
              <w:rPr>
                <w:rFonts w:hint="eastAsia" w:ascii="方正书宋_GBK" w:eastAsia="方正书宋_GBK"/>
                <w:b/>
              </w:rPr>
            </w:pPr>
          </w:p>
        </w:tc>
        <w:tc>
          <w:tcPr>
            <w:tcW w:w="1276" w:type="dxa"/>
            <w:vMerge w:val="continue"/>
            <w:shd w:val="clear" w:color="auto" w:fill="auto"/>
            <w:noWrap w:val="0"/>
            <w:vAlign w:val="center"/>
          </w:tcPr>
          <w:p>
            <w:pPr>
              <w:spacing w:line="300" w:lineRule="exact"/>
              <w:jc w:val="left"/>
              <w:rPr>
                <w:rFonts w:ascii="方正书宋_GBK" w:eastAsia="方正书宋_GBK"/>
              </w:rPr>
            </w:pPr>
          </w:p>
        </w:tc>
        <w:tc>
          <w:tcPr>
            <w:tcW w:w="2976" w:type="dxa"/>
            <w:vMerge w:val="continue"/>
            <w:shd w:val="clear" w:color="auto" w:fill="auto"/>
            <w:noWrap w:val="0"/>
            <w:vAlign w:val="center"/>
          </w:tcPr>
          <w:p>
            <w:pPr>
              <w:spacing w:line="300" w:lineRule="exact"/>
              <w:jc w:val="left"/>
              <w:rPr>
                <w:rFonts w:hint="eastAsia" w:ascii="方正书宋_GBK" w:eastAsia="方正书宋_GBK"/>
              </w:rPr>
            </w:pPr>
          </w:p>
        </w:tc>
        <w:tc>
          <w:tcPr>
            <w:tcW w:w="2976" w:type="dxa"/>
            <w:vMerge w:val="continue"/>
            <w:shd w:val="clear" w:color="auto" w:fill="auto"/>
            <w:noWrap w:val="0"/>
            <w:vAlign w:val="center"/>
          </w:tcPr>
          <w:p>
            <w:pPr>
              <w:spacing w:line="300" w:lineRule="exact"/>
              <w:jc w:val="left"/>
              <w:rPr>
                <w:rFonts w:hint="eastAsia" w:ascii="方正书宋_GBK" w:eastAsia="方正书宋_GBK"/>
              </w:rPr>
            </w:pP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培训任务完成率</w:t>
            </w:r>
            <w:r>
              <w:rPr>
                <w:rFonts w:ascii="方正书宋_GBK" w:eastAsia="方正书宋_GBK"/>
              </w:rPr>
              <w:t>%</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85</w:t>
            </w:r>
            <w:r>
              <w:rPr>
                <w:rFonts w:hint="eastAsia" w:ascii="方正书宋_GBK" w:eastAsia="方正书宋_GBK"/>
              </w:rPr>
              <w:t>％</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70</w:t>
            </w:r>
            <w:r>
              <w:rPr>
                <w:rFonts w:hint="eastAsia" w:ascii="方正书宋_GBK" w:eastAsia="方正书宋_GBK"/>
              </w:rPr>
              <w:t>％</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&lt;70</w:t>
            </w:r>
            <w:r>
              <w:rPr>
                <w:rFonts w:hint="eastAsia" w:ascii="方正书宋_GBK" w:eastAsia="方正书宋_GBK"/>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、师资与学科建设</w:t>
            </w:r>
          </w:p>
        </w:tc>
        <w:tc>
          <w:tcPr>
            <w:tcW w:w="1276" w:type="dxa"/>
            <w:shd w:val="clear" w:color="auto" w:fill="auto"/>
            <w:noWrap w:val="0"/>
            <w:vAlign w:val="center"/>
          </w:tcPr>
          <w:p>
            <w:pPr>
              <w:spacing w:line="300" w:lineRule="exact"/>
              <w:jc w:val="left"/>
              <w:rPr>
                <w:rFonts w:ascii="方正书宋_GBK" w:eastAsia="方正书宋_GBK"/>
              </w:rPr>
            </w:pP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加强学科建和学科培育，形成有党校特色的优势学科和重点学科和教学基地</w:t>
            </w: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通过重点培育和建设，形成几门有党校特色的优势学科和重点学科</w:t>
            </w: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建设几门党校特色的优势学科</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85</w:t>
            </w:r>
            <w:r>
              <w:rPr>
                <w:rFonts w:hint="eastAsia" w:ascii="方正书宋_GBK" w:eastAsia="方正书宋_GBK"/>
              </w:rPr>
              <w:t>％</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70</w:t>
            </w:r>
            <w:r>
              <w:rPr>
                <w:rFonts w:hint="eastAsia" w:ascii="方正书宋_GBK" w:eastAsia="方正书宋_GBK"/>
              </w:rPr>
              <w:t>％</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&lt;70</w:t>
            </w:r>
            <w:r>
              <w:rPr>
                <w:rFonts w:hint="eastAsia" w:ascii="方正书宋_GBK" w:eastAsia="方正书宋_GBK"/>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3</w:t>
            </w:r>
            <w:r>
              <w:rPr>
                <w:rFonts w:hint="eastAsia" w:ascii="方正书宋_GBK" w:eastAsia="方正书宋_GBK"/>
                <w:b/>
              </w:rPr>
              <w:t>、教学事务管理</w:t>
            </w:r>
          </w:p>
        </w:tc>
        <w:tc>
          <w:tcPr>
            <w:tcW w:w="1276" w:type="dxa"/>
            <w:shd w:val="clear" w:color="auto" w:fill="auto"/>
            <w:noWrap w:val="0"/>
            <w:vAlign w:val="center"/>
          </w:tcPr>
          <w:p>
            <w:pPr>
              <w:spacing w:line="300" w:lineRule="exact"/>
              <w:jc w:val="left"/>
              <w:rPr>
                <w:rFonts w:ascii="方正书宋_GBK" w:eastAsia="方正书宋_GBK"/>
              </w:rPr>
            </w:pP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组织实施综合管理和后勤保障服务</w:t>
            </w: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通过有效的行政后勤管理，完善教学设施和服务网络，提高保障水平，促进教学活动和学员培训水平的提高</w:t>
            </w: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学员对综合事物管理满意度</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85</w:t>
            </w:r>
            <w:r>
              <w:rPr>
                <w:rFonts w:hint="eastAsia" w:ascii="方正书宋_GBK" w:eastAsia="方正书宋_GBK"/>
              </w:rPr>
              <w:t>％</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70</w:t>
            </w:r>
            <w:r>
              <w:rPr>
                <w:rFonts w:hint="eastAsia" w:ascii="方正书宋_GBK" w:eastAsia="方正书宋_GBK"/>
              </w:rPr>
              <w:t>％</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&lt;70</w:t>
            </w:r>
            <w:r>
              <w:rPr>
                <w:rFonts w:hint="eastAsia" w:ascii="方正书宋_GBK" w:eastAsia="方正书宋_GBK"/>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4</w:t>
            </w:r>
            <w:r>
              <w:rPr>
                <w:rFonts w:hint="eastAsia" w:ascii="方正书宋_GBK" w:eastAsia="方正书宋_GBK"/>
                <w:b/>
              </w:rPr>
              <w:t>、综合业务管理</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28.24</w:t>
            </w: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组织单位日常活动的有效运行，提供有力的后勤保障</w:t>
            </w: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完善单位管理建设，为单位工作的正常开展做好保障工作</w:t>
            </w: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教职工的满意度</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85</w:t>
            </w:r>
            <w:r>
              <w:rPr>
                <w:rFonts w:hint="eastAsia" w:ascii="方正书宋_GBK" w:eastAsia="方正书宋_GBK"/>
              </w:rPr>
              <w:t>％</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70</w:t>
            </w:r>
            <w:r>
              <w:rPr>
                <w:rFonts w:hint="eastAsia" w:ascii="方正书宋_GBK" w:eastAsia="方正书宋_GBK"/>
              </w:rPr>
              <w:t>％</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&lt;70</w:t>
            </w:r>
            <w:r>
              <w:rPr>
                <w:rFonts w:hint="eastAsia" w:ascii="方正书宋_GBK" w:eastAsia="方正书宋_GBK"/>
              </w:rPr>
              <w:t>％</w:t>
            </w:r>
          </w:p>
        </w:tc>
      </w:tr>
      <w:bookmarkEnd w:id="0"/>
    </w:tbl>
    <w:p>
      <w:pPr>
        <w:autoSpaceDE w:val="0"/>
        <w:autoSpaceDN w:val="0"/>
        <w:adjustRightInd w:val="0"/>
        <w:ind w:left="198" w:firstLine="640" w:firstLineChars="200"/>
        <w:jc w:val="left"/>
        <w:rPr>
          <w:rFonts w:ascii="黑体" w:hAnsi="黑体" w:eastAsia="黑体"/>
          <w:sz w:val="32"/>
          <w:szCs w:val="32"/>
        </w:rPr>
      </w:pPr>
      <w:r>
        <w:rPr>
          <w:rFonts w:hint="eastAsia" w:ascii="黑体" w:hAnsi="黑体" w:eastAsia="黑体"/>
          <w:sz w:val="32"/>
          <w:szCs w:val="32"/>
        </w:rPr>
        <w:t>六、</w:t>
      </w:r>
      <w:r>
        <w:rPr>
          <w:rFonts w:hint="eastAsia" w:ascii="黑体" w:hAnsi="黑体" w:eastAsia="黑体"/>
          <w:sz w:val="32"/>
          <w:szCs w:val="32"/>
          <w:lang w:eastAsia="zh-CN"/>
        </w:rPr>
        <w:t>政府采购预算情况</w:t>
      </w:r>
      <w:bookmarkStart w:id="2" w:name="_GoBack"/>
      <w:bookmarkEnd w:id="2"/>
    </w:p>
    <w:p>
      <w:pPr>
        <w:spacing w:line="560" w:lineRule="exact"/>
        <w:ind w:firstLine="640" w:firstLineChars="200"/>
        <w:rPr>
          <w:rFonts w:ascii="仿宋" w:hAnsi="仿宋" w:eastAsia="仿宋"/>
          <w:sz w:val="32"/>
          <w:szCs w:val="32"/>
        </w:rPr>
      </w:pPr>
      <w:r>
        <w:rPr>
          <w:rFonts w:hint="eastAsia" w:ascii="仿宋" w:hAnsi="仿宋" w:eastAsia="仿宋"/>
          <w:sz w:val="32"/>
          <w:szCs w:val="32"/>
        </w:rPr>
        <w:t>本年度部门预算共计安排政府采购项目为</w:t>
      </w:r>
      <w:r>
        <w:rPr>
          <w:rFonts w:ascii="仿宋" w:hAnsi="仿宋" w:eastAsia="仿宋"/>
          <w:sz w:val="32"/>
          <w:szCs w:val="32"/>
        </w:rPr>
        <w:t>0</w:t>
      </w:r>
      <w:r>
        <w:rPr>
          <w:rFonts w:hint="eastAsia" w:ascii="仿宋" w:hAnsi="仿宋" w:eastAsia="仿宋"/>
          <w:sz w:val="32"/>
          <w:szCs w:val="32"/>
        </w:rPr>
        <w:t>类</w:t>
      </w:r>
      <w:r>
        <w:rPr>
          <w:rFonts w:ascii="仿宋" w:hAnsi="仿宋" w:eastAsia="仿宋"/>
          <w:sz w:val="32"/>
          <w:szCs w:val="32"/>
        </w:rPr>
        <w:t>0</w:t>
      </w:r>
      <w:r>
        <w:rPr>
          <w:rFonts w:hint="eastAsia" w:ascii="仿宋" w:hAnsi="仿宋" w:eastAsia="仿宋"/>
          <w:sz w:val="32"/>
          <w:szCs w:val="32"/>
        </w:rPr>
        <w:t>个，涉及金额</w:t>
      </w:r>
      <w:r>
        <w:rPr>
          <w:rFonts w:ascii="仿宋" w:hAnsi="仿宋" w:eastAsia="仿宋"/>
          <w:sz w:val="32"/>
          <w:szCs w:val="32"/>
        </w:rPr>
        <w:t>0</w:t>
      </w:r>
      <w:r>
        <w:rPr>
          <w:rFonts w:hint="eastAsia" w:ascii="仿宋" w:hAnsi="仿宋" w:eastAsia="仿宋"/>
          <w:sz w:val="32"/>
          <w:szCs w:val="32"/>
        </w:rPr>
        <w:t>万元，其中货物类</w:t>
      </w:r>
      <w:r>
        <w:rPr>
          <w:rFonts w:ascii="仿宋" w:hAnsi="仿宋" w:eastAsia="仿宋"/>
          <w:sz w:val="32"/>
          <w:szCs w:val="32"/>
        </w:rPr>
        <w:t>0</w:t>
      </w:r>
      <w:r>
        <w:rPr>
          <w:rFonts w:hint="eastAsia" w:ascii="仿宋" w:hAnsi="仿宋" w:eastAsia="仿宋"/>
          <w:sz w:val="32"/>
          <w:szCs w:val="32"/>
        </w:rPr>
        <w:t>个，涉及金额</w:t>
      </w:r>
      <w:r>
        <w:rPr>
          <w:rFonts w:ascii="仿宋" w:hAnsi="仿宋" w:eastAsia="仿宋"/>
          <w:sz w:val="32"/>
          <w:szCs w:val="32"/>
        </w:rPr>
        <w:t>0</w:t>
      </w:r>
      <w:r>
        <w:rPr>
          <w:rFonts w:hint="eastAsia" w:ascii="仿宋" w:hAnsi="仿宋" w:eastAsia="仿宋"/>
          <w:sz w:val="32"/>
          <w:szCs w:val="32"/>
        </w:rPr>
        <w:t>万元；工程类</w:t>
      </w:r>
      <w:r>
        <w:rPr>
          <w:rFonts w:ascii="仿宋" w:hAnsi="仿宋" w:eastAsia="仿宋"/>
          <w:sz w:val="32"/>
          <w:szCs w:val="32"/>
        </w:rPr>
        <w:t>0</w:t>
      </w:r>
      <w:r>
        <w:rPr>
          <w:rFonts w:hint="eastAsia" w:ascii="仿宋" w:hAnsi="仿宋" w:eastAsia="仿宋"/>
          <w:sz w:val="32"/>
          <w:szCs w:val="32"/>
        </w:rPr>
        <w:t>个，涉及金额</w:t>
      </w:r>
      <w:r>
        <w:rPr>
          <w:rFonts w:ascii="仿宋" w:hAnsi="仿宋" w:eastAsia="仿宋"/>
          <w:sz w:val="32"/>
          <w:szCs w:val="32"/>
        </w:rPr>
        <w:t>0</w:t>
      </w:r>
      <w:r>
        <w:rPr>
          <w:rFonts w:hint="eastAsia" w:ascii="仿宋" w:hAnsi="仿宋" w:eastAsia="仿宋"/>
          <w:sz w:val="32"/>
          <w:szCs w:val="32"/>
        </w:rPr>
        <w:t>万元；服务类</w:t>
      </w:r>
      <w:r>
        <w:rPr>
          <w:rFonts w:ascii="仿宋" w:hAnsi="仿宋" w:eastAsia="仿宋"/>
          <w:sz w:val="32"/>
          <w:szCs w:val="32"/>
        </w:rPr>
        <w:t>0</w:t>
      </w:r>
      <w:r>
        <w:rPr>
          <w:rFonts w:hint="eastAsia" w:ascii="仿宋" w:hAnsi="仿宋" w:eastAsia="仿宋"/>
          <w:sz w:val="32"/>
          <w:szCs w:val="32"/>
        </w:rPr>
        <w:t>个，涉及金额</w:t>
      </w:r>
      <w:r>
        <w:rPr>
          <w:rFonts w:ascii="仿宋" w:hAnsi="仿宋" w:eastAsia="仿宋"/>
          <w:sz w:val="32"/>
          <w:szCs w:val="32"/>
        </w:rPr>
        <w:t>0</w:t>
      </w:r>
      <w:r>
        <w:rPr>
          <w:rFonts w:hint="eastAsia" w:ascii="仿宋" w:hAnsi="仿宋" w:eastAsia="仿宋"/>
          <w:sz w:val="32"/>
          <w:szCs w:val="32"/>
        </w:rPr>
        <w:t>万元。</w:t>
      </w:r>
    </w:p>
    <w:p>
      <w:pPr>
        <w:autoSpaceDE w:val="0"/>
        <w:autoSpaceDN w:val="0"/>
        <w:adjustRightInd w:val="0"/>
        <w:ind w:left="198" w:firstLine="640" w:firstLineChars="200"/>
        <w:jc w:val="left"/>
        <w:rPr>
          <w:rFonts w:ascii="黑体" w:hAnsi="黑体" w:eastAsia="黑体"/>
          <w:sz w:val="32"/>
          <w:szCs w:val="32"/>
        </w:rPr>
      </w:pPr>
      <w:r>
        <w:rPr>
          <w:rFonts w:hint="eastAsia" w:ascii="黑体" w:hAnsi="黑体" w:eastAsia="黑体"/>
          <w:sz w:val="32"/>
          <w:szCs w:val="32"/>
        </w:rPr>
        <w:t>七、国有资产信息</w:t>
      </w:r>
    </w:p>
    <w:p>
      <w:pPr>
        <w:spacing w:line="560" w:lineRule="exact"/>
        <w:ind w:firstLine="640" w:firstLineChars="200"/>
        <w:rPr>
          <w:rFonts w:ascii="仿宋" w:hAnsi="仿宋" w:eastAsia="仿宋"/>
          <w:b/>
          <w:sz w:val="32"/>
          <w:szCs w:val="32"/>
          <w:highlight w:val="red"/>
        </w:rPr>
      </w:pPr>
      <w:r>
        <w:rPr>
          <w:rFonts w:hint="eastAsia" w:ascii="仿宋" w:hAnsi="仿宋" w:eastAsia="仿宋"/>
          <w:sz w:val="32"/>
          <w:szCs w:val="32"/>
        </w:rPr>
        <w:t>香河县委党校（含所属单位）上年末固定资产金额为</w:t>
      </w:r>
      <w:r>
        <w:rPr>
          <w:rFonts w:hint="eastAsia" w:ascii="仿宋" w:hAnsi="仿宋" w:eastAsia="仿宋"/>
          <w:sz w:val="32"/>
          <w:szCs w:val="32"/>
          <w:lang w:val="en-US" w:eastAsia="zh-CN"/>
        </w:rPr>
        <w:t>529.39</w:t>
      </w:r>
      <w:r>
        <w:rPr>
          <w:rFonts w:hint="eastAsia" w:ascii="仿宋" w:hAnsi="仿宋" w:eastAsia="仿宋"/>
          <w:sz w:val="32"/>
          <w:szCs w:val="32"/>
        </w:rPr>
        <w:t>万元，本年度各处室无政府采购预算。详见下表。</w:t>
      </w:r>
    </w:p>
    <w:p>
      <w:pPr>
        <w:ind w:firstLine="640"/>
        <w:rPr>
          <w:rFonts w:ascii="仿宋" w:hAnsi="仿宋" w:eastAsia="仿宋"/>
          <w:sz w:val="32"/>
          <w:szCs w:val="32"/>
        </w:rPr>
      </w:pPr>
    </w:p>
    <w:tbl>
      <w:tblPr>
        <w:tblStyle w:val="6"/>
        <w:tblW w:w="13482" w:type="dxa"/>
        <w:tblInd w:w="93" w:type="dxa"/>
        <w:tblLayout w:type="fixed"/>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vAlign w:val="center"/>
          </w:tcPr>
          <w:p>
            <w:pPr>
              <w:widowControl/>
              <w:jc w:val="center"/>
              <w:rPr>
                <w:rFonts w:ascii="宋体" w:cs="宋体"/>
                <w:b/>
                <w:bCs/>
                <w:kern w:val="0"/>
                <w:sz w:val="32"/>
                <w:szCs w:val="32"/>
              </w:rPr>
            </w:pPr>
            <w:r>
              <w:rPr>
                <w:rFonts w:hint="eastAsia" w:ascii="宋体" w:hAnsi="宋体" w:cs="宋体"/>
                <w:b/>
                <w:bCs/>
                <w:kern w:val="0"/>
                <w:sz w:val="32"/>
                <w:szCs w:val="32"/>
              </w:rPr>
              <w:t>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vAlign w:val="center"/>
          </w:tcPr>
          <w:p>
            <w:pPr>
              <w:widowControl/>
              <w:jc w:val="left"/>
              <w:rPr>
                <w:rFonts w:ascii="宋体" w:cs="宋体"/>
                <w:kern w:val="0"/>
                <w:sz w:val="22"/>
              </w:rPr>
            </w:pPr>
            <w:r>
              <w:rPr>
                <w:rFonts w:hint="eastAsia" w:ascii="宋体" w:hAnsi="宋体" w:cs="宋体"/>
                <w:kern w:val="0"/>
                <w:sz w:val="22"/>
              </w:rPr>
              <w:t>编制部门：香河县委党校</w:t>
            </w:r>
          </w:p>
        </w:tc>
        <w:tc>
          <w:tcPr>
            <w:tcW w:w="5103" w:type="dxa"/>
            <w:tcBorders>
              <w:top w:val="nil"/>
              <w:left w:val="nil"/>
              <w:bottom w:val="nil"/>
              <w:right w:val="nil"/>
            </w:tcBorders>
            <w:vAlign w:val="center"/>
          </w:tcPr>
          <w:p>
            <w:pPr>
              <w:widowControl/>
              <w:jc w:val="left"/>
              <w:rPr>
                <w:rFonts w:ascii="宋体" w:cs="宋体"/>
                <w:kern w:val="0"/>
                <w:sz w:val="22"/>
              </w:rPr>
            </w:pPr>
            <w:r>
              <w:rPr>
                <w:rFonts w:hint="eastAsia" w:ascii="宋体" w:hAnsi="宋体" w:cs="宋体"/>
                <w:kern w:val="0"/>
                <w:sz w:val="22"/>
              </w:rPr>
              <w:t>截止时间：</w:t>
            </w:r>
            <w:r>
              <w:rPr>
                <w:rFonts w:hint="eastAsia" w:ascii="宋体" w:hAnsi="宋体" w:cs="宋体"/>
                <w:kern w:val="0"/>
                <w:sz w:val="22"/>
                <w:lang w:eastAsia="zh-CN"/>
              </w:rPr>
              <w:t>2018年</w:t>
            </w:r>
            <w:r>
              <w:rPr>
                <w:rFonts w:ascii="宋体" w:hAnsi="宋体" w:cs="宋体"/>
                <w:kern w:val="0"/>
                <w:sz w:val="22"/>
              </w:rPr>
              <w:t>12</w:t>
            </w:r>
            <w:r>
              <w:rPr>
                <w:rFonts w:hint="eastAsia" w:ascii="宋体" w:hAnsi="宋体" w:cs="宋体"/>
                <w:kern w:val="0"/>
                <w:sz w:val="22"/>
              </w:rPr>
              <w:t>月</w:t>
            </w:r>
            <w:r>
              <w:rPr>
                <w:rFonts w:ascii="宋体" w:hAnsi="宋体" w:cs="宋体"/>
                <w:kern w:val="0"/>
                <w:sz w:val="22"/>
              </w:rPr>
              <w:t>31</w:t>
            </w:r>
            <w:r>
              <w:rPr>
                <w:rFonts w:hint="eastAsia" w:ascii="宋体" w:hAnsi="宋体" w:cs="宋体"/>
                <w:kern w:val="0"/>
                <w:sz w:val="22"/>
              </w:rPr>
              <w:t>日</w:t>
            </w:r>
            <w:r>
              <w:rPr>
                <w:rFonts w:ascii="宋体" w:hAnsi="宋体" w:cs="宋体"/>
                <w:kern w:val="0"/>
                <w:sz w:val="22"/>
              </w:rPr>
              <w:t xml:space="preserve">  </w:t>
            </w:r>
          </w:p>
        </w:tc>
      </w:tr>
      <w:tr>
        <w:tblPrEx>
          <w:tblCellMar>
            <w:top w:w="0" w:type="dxa"/>
            <w:left w:w="108" w:type="dxa"/>
            <w:bottom w:w="0" w:type="dxa"/>
            <w:right w:w="108" w:type="dxa"/>
          </w:tblCellMar>
        </w:tblPrEx>
        <w:trPr>
          <w:trHeight w:val="645" w:hRule="atLeast"/>
        </w:trPr>
        <w:tc>
          <w:tcPr>
            <w:tcW w:w="522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kern w:val="0"/>
                <w:sz w:val="22"/>
              </w:rPr>
            </w:pPr>
            <w:r>
              <w:rPr>
                <w:rFonts w:hint="eastAsia" w:ascii="宋体" w:hAnsi="宋体" w:cs="宋体"/>
                <w:b/>
                <w:bCs/>
                <w:kern w:val="0"/>
                <w:sz w:val="22"/>
              </w:rPr>
              <w:t>项</w:t>
            </w:r>
            <w:r>
              <w:rPr>
                <w:rFonts w:ascii="宋体" w:hAnsi="宋体" w:cs="宋体"/>
                <w:b/>
                <w:bCs/>
                <w:kern w:val="0"/>
                <w:sz w:val="22"/>
              </w:rPr>
              <w:t xml:space="preserve">   </w:t>
            </w:r>
            <w:r>
              <w:rPr>
                <w:rFonts w:hint="eastAsia" w:ascii="宋体" w:hAnsi="宋体" w:cs="宋体"/>
                <w:b/>
                <w:bCs/>
                <w:kern w:val="0"/>
                <w:sz w:val="22"/>
              </w:rPr>
              <w:t>目</w:t>
            </w:r>
          </w:p>
        </w:tc>
        <w:tc>
          <w:tcPr>
            <w:tcW w:w="3155" w:type="dxa"/>
            <w:tcBorders>
              <w:top w:val="single" w:color="auto" w:sz="4" w:space="0"/>
              <w:left w:val="nil"/>
              <w:bottom w:val="single" w:color="auto" w:sz="4" w:space="0"/>
              <w:right w:val="single" w:color="auto" w:sz="4" w:space="0"/>
            </w:tcBorders>
            <w:vAlign w:val="center"/>
          </w:tcPr>
          <w:p>
            <w:pPr>
              <w:widowControl/>
              <w:jc w:val="center"/>
              <w:rPr>
                <w:rFonts w:ascii="宋体" w:cs="宋体"/>
                <w:b/>
                <w:bCs/>
                <w:kern w:val="0"/>
                <w:sz w:val="22"/>
              </w:rPr>
            </w:pPr>
            <w:r>
              <w:rPr>
                <w:rFonts w:hint="eastAsia" w:ascii="宋体" w:hAnsi="宋体" w:cs="宋体"/>
                <w:b/>
                <w:bCs/>
                <w:kern w:val="0"/>
                <w:sz w:val="22"/>
              </w:rPr>
              <w:t>数量</w:t>
            </w:r>
          </w:p>
        </w:tc>
        <w:tc>
          <w:tcPr>
            <w:tcW w:w="5103" w:type="dxa"/>
            <w:tcBorders>
              <w:top w:val="single" w:color="auto" w:sz="4" w:space="0"/>
              <w:left w:val="nil"/>
              <w:bottom w:val="single" w:color="auto" w:sz="4" w:space="0"/>
              <w:right w:val="single" w:color="auto" w:sz="4" w:space="0"/>
            </w:tcBorders>
            <w:vAlign w:val="center"/>
          </w:tcPr>
          <w:p>
            <w:pPr>
              <w:widowControl/>
              <w:jc w:val="center"/>
              <w:rPr>
                <w:rFonts w:ascii="宋体" w:cs="宋体"/>
                <w:b/>
                <w:bCs/>
                <w:kern w:val="0"/>
                <w:sz w:val="22"/>
              </w:rPr>
            </w:pPr>
            <w:r>
              <w:rPr>
                <w:rFonts w:hint="eastAsia" w:ascii="宋体" w:hAnsi="宋体" w:cs="宋体"/>
                <w:b/>
                <w:bCs/>
                <w:kern w:val="0"/>
                <w:sz w:val="22"/>
              </w:rPr>
              <w:t>价值（金额单位：万元）</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2"/>
              </w:rPr>
            </w:pPr>
            <w:r>
              <w:rPr>
                <w:rFonts w:hint="eastAsia" w:ascii="宋体" w:hAnsi="宋体" w:cs="宋体"/>
                <w:kern w:val="0"/>
                <w:sz w:val="22"/>
              </w:rPr>
              <w:t>资产总额</w:t>
            </w:r>
          </w:p>
        </w:tc>
        <w:tc>
          <w:tcPr>
            <w:tcW w:w="3155" w:type="dxa"/>
            <w:tcBorders>
              <w:top w:val="nil"/>
              <w:left w:val="nil"/>
              <w:bottom w:val="single" w:color="auto" w:sz="4" w:space="0"/>
              <w:right w:val="single" w:color="auto" w:sz="4" w:space="0"/>
            </w:tcBorders>
            <w:vAlign w:val="center"/>
          </w:tcPr>
          <w:p>
            <w:pPr>
              <w:widowControl/>
              <w:jc w:val="center"/>
              <w:rPr>
                <w:rFonts w:ascii="宋体" w:cs="宋体"/>
                <w:kern w:val="0"/>
                <w:sz w:val="22"/>
              </w:rPr>
            </w:pPr>
            <w:r>
              <w:rPr>
                <w:rFonts w:ascii="宋体" w:hAnsi="宋体" w:cs="宋体"/>
                <w:kern w:val="0"/>
                <w:sz w:val="22"/>
              </w:rPr>
              <w:t>——</w:t>
            </w:r>
          </w:p>
        </w:tc>
        <w:tc>
          <w:tcPr>
            <w:tcW w:w="5103" w:type="dxa"/>
            <w:tcBorders>
              <w:top w:val="nil"/>
              <w:left w:val="nil"/>
              <w:bottom w:val="single" w:color="auto" w:sz="4" w:space="0"/>
              <w:right w:val="single" w:color="auto" w:sz="4" w:space="0"/>
            </w:tcBorders>
            <w:vAlign w:val="center"/>
          </w:tcPr>
          <w:p>
            <w:pPr>
              <w:widowControl/>
              <w:jc w:val="center"/>
              <w:rPr>
                <w:rFonts w:hint="default" w:ascii="宋体" w:eastAsia="宋体" w:cs="宋体"/>
                <w:kern w:val="0"/>
                <w:sz w:val="22"/>
                <w:lang w:val="en-US" w:eastAsia="zh-CN"/>
              </w:rPr>
            </w:pPr>
            <w:r>
              <w:rPr>
                <w:rFonts w:hint="eastAsia" w:ascii="宋体" w:hAnsi="宋体" w:cs="宋体"/>
                <w:kern w:val="0"/>
                <w:sz w:val="22"/>
                <w:lang w:val="en-US" w:eastAsia="zh-CN"/>
              </w:rPr>
              <w:t>529.39</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2"/>
              </w:rPr>
            </w:pPr>
            <w:r>
              <w:rPr>
                <w:rFonts w:ascii="宋体" w:hAnsi="宋体" w:cs="宋体"/>
                <w:kern w:val="0"/>
                <w:sz w:val="22"/>
              </w:rPr>
              <w:t>1</w:t>
            </w:r>
            <w:r>
              <w:rPr>
                <w:rFonts w:hint="eastAsia" w:ascii="宋体" w:hAnsi="宋体" w:cs="宋体"/>
                <w:kern w:val="0"/>
                <w:sz w:val="22"/>
              </w:rPr>
              <w:t>、房屋（平方米）</w:t>
            </w:r>
          </w:p>
        </w:tc>
        <w:tc>
          <w:tcPr>
            <w:tcW w:w="3155" w:type="dxa"/>
            <w:tcBorders>
              <w:top w:val="nil"/>
              <w:left w:val="nil"/>
              <w:bottom w:val="single" w:color="auto" w:sz="4" w:space="0"/>
              <w:right w:val="single" w:color="auto" w:sz="4" w:space="0"/>
            </w:tcBorders>
            <w:vAlign w:val="center"/>
          </w:tcPr>
          <w:p>
            <w:pPr>
              <w:widowControl/>
              <w:jc w:val="center"/>
              <w:rPr>
                <w:rFonts w:ascii="宋体" w:cs="宋体"/>
                <w:kern w:val="0"/>
                <w:sz w:val="22"/>
              </w:rPr>
            </w:pPr>
            <w:r>
              <w:rPr>
                <w:rFonts w:ascii="宋体" w:hAnsi="宋体" w:cs="宋体"/>
                <w:kern w:val="0"/>
                <w:sz w:val="22"/>
              </w:rPr>
              <w:t>3600</w:t>
            </w:r>
          </w:p>
        </w:tc>
        <w:tc>
          <w:tcPr>
            <w:tcW w:w="5103" w:type="dxa"/>
            <w:tcBorders>
              <w:top w:val="nil"/>
              <w:left w:val="nil"/>
              <w:bottom w:val="single" w:color="auto" w:sz="4" w:space="0"/>
              <w:right w:val="single" w:color="auto" w:sz="4" w:space="0"/>
            </w:tcBorders>
            <w:vAlign w:val="center"/>
          </w:tcPr>
          <w:p>
            <w:pPr>
              <w:widowControl/>
              <w:jc w:val="center"/>
              <w:rPr>
                <w:rFonts w:ascii="宋体" w:cs="宋体"/>
                <w:kern w:val="0"/>
                <w:sz w:val="22"/>
              </w:rPr>
            </w:pPr>
            <w:r>
              <w:rPr>
                <w:rFonts w:ascii="宋体" w:hAnsi="宋体" w:cs="宋体"/>
                <w:kern w:val="0"/>
                <w:sz w:val="22"/>
              </w:rPr>
              <w:t>350</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2"/>
              </w:rPr>
            </w:pPr>
            <w:r>
              <w:rPr>
                <w:rFonts w:ascii="宋体" w:hAnsi="宋体" w:cs="宋体"/>
                <w:kern w:val="0"/>
                <w:sz w:val="22"/>
              </w:rPr>
              <w:t xml:space="preserve">   </w:t>
            </w:r>
            <w:r>
              <w:rPr>
                <w:rFonts w:hint="eastAsia" w:ascii="宋体" w:hAnsi="宋体" w:cs="宋体"/>
                <w:kern w:val="0"/>
                <w:sz w:val="22"/>
              </w:rPr>
              <w:t>其中：办公用房（平方米）</w:t>
            </w:r>
          </w:p>
        </w:tc>
        <w:tc>
          <w:tcPr>
            <w:tcW w:w="3155" w:type="dxa"/>
            <w:tcBorders>
              <w:top w:val="nil"/>
              <w:left w:val="nil"/>
              <w:bottom w:val="single" w:color="auto" w:sz="4" w:space="0"/>
              <w:right w:val="single" w:color="auto" w:sz="4" w:space="0"/>
            </w:tcBorders>
            <w:vAlign w:val="center"/>
          </w:tcPr>
          <w:p>
            <w:pPr>
              <w:widowControl/>
              <w:jc w:val="center"/>
              <w:rPr>
                <w:rFonts w:ascii="宋体" w:cs="宋体"/>
                <w:kern w:val="0"/>
                <w:sz w:val="22"/>
              </w:rPr>
            </w:pPr>
            <w:r>
              <w:rPr>
                <w:rFonts w:ascii="宋体" w:hAnsi="宋体" w:cs="宋体"/>
                <w:kern w:val="0"/>
                <w:sz w:val="22"/>
              </w:rPr>
              <w:t>3600</w:t>
            </w:r>
          </w:p>
        </w:tc>
        <w:tc>
          <w:tcPr>
            <w:tcW w:w="5103" w:type="dxa"/>
            <w:tcBorders>
              <w:top w:val="nil"/>
              <w:left w:val="nil"/>
              <w:bottom w:val="single" w:color="auto" w:sz="4" w:space="0"/>
              <w:right w:val="single" w:color="auto" w:sz="4" w:space="0"/>
            </w:tcBorders>
            <w:vAlign w:val="center"/>
          </w:tcPr>
          <w:p>
            <w:pPr>
              <w:widowControl/>
              <w:jc w:val="center"/>
              <w:rPr>
                <w:rFonts w:ascii="宋体" w:cs="宋体"/>
                <w:kern w:val="0"/>
                <w:sz w:val="22"/>
              </w:rPr>
            </w:pPr>
            <w:r>
              <w:rPr>
                <w:rFonts w:ascii="宋体" w:hAnsi="宋体" w:cs="宋体"/>
                <w:kern w:val="0"/>
                <w:sz w:val="22"/>
              </w:rPr>
              <w:t>350</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2"/>
              </w:rPr>
            </w:pPr>
            <w:r>
              <w:rPr>
                <w:rFonts w:ascii="宋体" w:hAnsi="宋体" w:cs="宋体"/>
                <w:kern w:val="0"/>
                <w:sz w:val="22"/>
              </w:rPr>
              <w:t>2</w:t>
            </w:r>
            <w:r>
              <w:rPr>
                <w:rFonts w:hint="eastAsia" w:ascii="宋体" w:hAnsi="宋体" w:cs="宋体"/>
                <w:kern w:val="0"/>
                <w:sz w:val="22"/>
              </w:rPr>
              <w:t>、车辆（台、辆）</w:t>
            </w:r>
          </w:p>
        </w:tc>
        <w:tc>
          <w:tcPr>
            <w:tcW w:w="3155" w:type="dxa"/>
            <w:tcBorders>
              <w:top w:val="nil"/>
              <w:left w:val="nil"/>
              <w:bottom w:val="single" w:color="auto" w:sz="4" w:space="0"/>
              <w:right w:val="single" w:color="auto" w:sz="4" w:space="0"/>
            </w:tcBorders>
            <w:vAlign w:val="center"/>
          </w:tcPr>
          <w:p>
            <w:pPr>
              <w:widowControl/>
              <w:jc w:val="center"/>
              <w:rPr>
                <w:rFonts w:ascii="宋体" w:cs="宋体"/>
                <w:kern w:val="0"/>
                <w:sz w:val="22"/>
              </w:rPr>
            </w:pPr>
            <w:r>
              <w:rPr>
                <w:rFonts w:ascii="宋体" w:hAnsi="宋体" w:cs="宋体"/>
                <w:kern w:val="0"/>
                <w:sz w:val="22"/>
              </w:rPr>
              <w:t>1</w:t>
            </w:r>
          </w:p>
        </w:tc>
        <w:tc>
          <w:tcPr>
            <w:tcW w:w="5103" w:type="dxa"/>
            <w:tcBorders>
              <w:top w:val="nil"/>
              <w:left w:val="nil"/>
              <w:bottom w:val="single" w:color="auto" w:sz="4" w:space="0"/>
              <w:right w:val="single" w:color="auto" w:sz="4" w:space="0"/>
            </w:tcBorders>
            <w:vAlign w:val="center"/>
          </w:tcPr>
          <w:p>
            <w:pPr>
              <w:widowControl/>
              <w:jc w:val="center"/>
              <w:rPr>
                <w:rFonts w:ascii="宋体" w:cs="宋体"/>
                <w:kern w:val="0"/>
                <w:sz w:val="22"/>
              </w:rPr>
            </w:pPr>
            <w:r>
              <w:rPr>
                <w:rFonts w:ascii="宋体" w:hAnsi="宋体" w:cs="宋体"/>
                <w:kern w:val="0"/>
                <w:sz w:val="22"/>
              </w:rPr>
              <w:t>13.5</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2"/>
              </w:rPr>
            </w:pPr>
            <w:r>
              <w:rPr>
                <w:rFonts w:ascii="宋体" w:hAnsi="宋体" w:cs="宋体"/>
                <w:kern w:val="0"/>
                <w:sz w:val="22"/>
              </w:rPr>
              <w:t>3</w:t>
            </w:r>
            <w:r>
              <w:rPr>
                <w:rFonts w:hint="eastAsia" w:ascii="宋体" w:hAnsi="宋体" w:cs="宋体"/>
                <w:kern w:val="0"/>
                <w:sz w:val="22"/>
              </w:rPr>
              <w:t>、单价在</w:t>
            </w:r>
            <w:r>
              <w:rPr>
                <w:rFonts w:ascii="宋体" w:hAnsi="宋体" w:cs="宋体"/>
                <w:kern w:val="0"/>
                <w:sz w:val="22"/>
              </w:rPr>
              <w:t>50</w:t>
            </w:r>
            <w:r>
              <w:rPr>
                <w:rFonts w:hint="eastAsia" w:ascii="宋体" w:hAnsi="宋体" w:cs="宋体"/>
                <w:kern w:val="0"/>
                <w:sz w:val="22"/>
              </w:rPr>
              <w:t>万元以上的设备</w:t>
            </w:r>
          </w:p>
        </w:tc>
        <w:tc>
          <w:tcPr>
            <w:tcW w:w="3155" w:type="dxa"/>
            <w:tcBorders>
              <w:top w:val="nil"/>
              <w:left w:val="nil"/>
              <w:bottom w:val="single" w:color="auto" w:sz="4" w:space="0"/>
              <w:right w:val="single" w:color="auto" w:sz="4" w:space="0"/>
            </w:tcBorders>
            <w:vAlign w:val="center"/>
          </w:tcPr>
          <w:p>
            <w:pPr>
              <w:widowControl/>
              <w:jc w:val="center"/>
              <w:rPr>
                <w:rFonts w:ascii="宋体" w:cs="宋体"/>
                <w:kern w:val="0"/>
                <w:sz w:val="22"/>
              </w:rPr>
            </w:pPr>
          </w:p>
        </w:tc>
        <w:tc>
          <w:tcPr>
            <w:tcW w:w="5103" w:type="dxa"/>
            <w:tcBorders>
              <w:top w:val="nil"/>
              <w:left w:val="nil"/>
              <w:bottom w:val="single" w:color="auto" w:sz="4" w:space="0"/>
              <w:right w:val="single" w:color="auto" w:sz="4" w:space="0"/>
            </w:tcBorders>
            <w:vAlign w:val="center"/>
          </w:tcPr>
          <w:p>
            <w:pPr>
              <w:widowControl/>
              <w:jc w:val="center"/>
              <w:rPr>
                <w:rFonts w:ascii="宋体" w:cs="宋体"/>
                <w:kern w:val="0"/>
                <w:sz w:val="22"/>
              </w:rPr>
            </w:pP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2"/>
              </w:rPr>
            </w:pPr>
            <w:r>
              <w:rPr>
                <w:rFonts w:ascii="宋体" w:hAnsi="宋体" w:cs="宋体"/>
                <w:kern w:val="0"/>
                <w:sz w:val="22"/>
              </w:rPr>
              <w:t>4</w:t>
            </w:r>
            <w:r>
              <w:rPr>
                <w:rFonts w:hint="eastAsia" w:ascii="宋体" w:hAnsi="宋体" w:cs="宋体"/>
                <w:kern w:val="0"/>
                <w:sz w:val="22"/>
              </w:rPr>
              <w:t>、其他固定资产</w:t>
            </w:r>
          </w:p>
        </w:tc>
        <w:tc>
          <w:tcPr>
            <w:tcW w:w="3155" w:type="dxa"/>
            <w:tcBorders>
              <w:top w:val="nil"/>
              <w:left w:val="nil"/>
              <w:bottom w:val="single" w:color="auto" w:sz="4" w:space="0"/>
              <w:right w:val="single" w:color="auto" w:sz="4" w:space="0"/>
            </w:tcBorders>
            <w:vAlign w:val="center"/>
          </w:tcPr>
          <w:p>
            <w:pPr>
              <w:widowControl/>
              <w:jc w:val="center"/>
              <w:rPr>
                <w:rFonts w:hint="default" w:ascii="宋体" w:eastAsia="宋体" w:cs="宋体"/>
                <w:kern w:val="0"/>
                <w:sz w:val="22"/>
                <w:lang w:val="en-US" w:eastAsia="zh-CN"/>
              </w:rPr>
            </w:pPr>
            <w:r>
              <w:rPr>
                <w:rFonts w:hint="eastAsia" w:ascii="宋体" w:cs="宋体"/>
                <w:kern w:val="0"/>
                <w:sz w:val="22"/>
                <w:lang w:val="en-US" w:eastAsia="zh-CN"/>
              </w:rPr>
              <w:t>211</w:t>
            </w:r>
          </w:p>
        </w:tc>
        <w:tc>
          <w:tcPr>
            <w:tcW w:w="5103" w:type="dxa"/>
            <w:tcBorders>
              <w:top w:val="nil"/>
              <w:left w:val="nil"/>
              <w:bottom w:val="single" w:color="auto" w:sz="4" w:space="0"/>
              <w:right w:val="single" w:color="auto" w:sz="4" w:space="0"/>
            </w:tcBorders>
            <w:vAlign w:val="center"/>
          </w:tcPr>
          <w:p>
            <w:pPr>
              <w:widowControl/>
              <w:jc w:val="center"/>
              <w:rPr>
                <w:rFonts w:hint="default" w:ascii="宋体" w:eastAsia="宋体" w:cs="宋体"/>
                <w:kern w:val="0"/>
                <w:sz w:val="22"/>
                <w:lang w:val="en-US" w:eastAsia="zh-CN"/>
              </w:rPr>
            </w:pPr>
            <w:r>
              <w:rPr>
                <w:rFonts w:hint="eastAsia" w:ascii="宋体" w:hAnsi="宋体" w:cs="宋体"/>
                <w:kern w:val="0"/>
                <w:sz w:val="22"/>
                <w:lang w:val="en-US" w:eastAsia="zh-CN"/>
              </w:rPr>
              <w:t>165.89</w:t>
            </w:r>
          </w:p>
        </w:tc>
      </w:tr>
    </w:tbl>
    <w:p>
      <w:pPr>
        <w:ind w:firstLine="640"/>
        <w:rPr>
          <w:rFonts w:ascii="黑体" w:hAnsi="黑体" w:eastAsia="黑体"/>
          <w:sz w:val="32"/>
          <w:szCs w:val="32"/>
        </w:rPr>
      </w:pPr>
      <w:r>
        <w:rPr>
          <w:rFonts w:hint="eastAsia" w:ascii="黑体" w:hAnsi="黑体" w:eastAsia="黑体"/>
          <w:sz w:val="32"/>
          <w:szCs w:val="32"/>
        </w:rPr>
        <w:t>八、名词解释</w:t>
      </w:r>
    </w:p>
    <w:p>
      <w:pPr>
        <w:pStyle w:val="10"/>
        <w:ind w:firstLine="630" w:firstLineChars="196"/>
        <w:rPr>
          <w:rFonts w:ascii="仿宋_GB2312" w:eastAsia="仿宋_GB2312"/>
          <w:b/>
          <w:bCs/>
          <w:sz w:val="32"/>
          <w:szCs w:val="32"/>
        </w:rPr>
      </w:pPr>
      <w:r>
        <w:rPr>
          <w:rFonts w:ascii="仿宋_GB2312" w:eastAsia="仿宋_GB2312"/>
          <w:b/>
          <w:bCs/>
          <w:sz w:val="32"/>
          <w:szCs w:val="32"/>
        </w:rPr>
        <w:t>1</w:t>
      </w:r>
      <w:r>
        <w:rPr>
          <w:rFonts w:hint="eastAsia" w:ascii="仿宋_GB2312" w:hAnsi="FZFangSong-Z02" w:eastAsia="仿宋_GB2312" w:cs="FZFangSong-Z02"/>
          <w:sz w:val="32"/>
          <w:szCs w:val="32"/>
        </w:rPr>
        <w:t>、一般公共预算拨款收入：指县级财政当年拨付的资金。</w:t>
      </w:r>
    </w:p>
    <w:p>
      <w:pPr>
        <w:pStyle w:val="10"/>
        <w:rPr>
          <w:rFonts w:ascii="仿宋_GB2312" w:hAnsi="FZFangSong-Z02" w:eastAsia="仿宋_GB2312" w:cs="FZFangSong-Z02"/>
          <w:sz w:val="32"/>
          <w:szCs w:val="32"/>
        </w:rPr>
      </w:pPr>
      <w:r>
        <w:rPr>
          <w:rFonts w:ascii="仿宋_GB2312" w:eastAsia="仿宋_GB2312"/>
          <w:b/>
          <w:bCs/>
          <w:sz w:val="32"/>
          <w:szCs w:val="32"/>
        </w:rPr>
        <w:t xml:space="preserve">    2</w:t>
      </w:r>
      <w:r>
        <w:rPr>
          <w:rFonts w:hint="eastAsia" w:ascii="仿宋_GB2312" w:hAnsi="FZFangSong-Z02" w:eastAsia="仿宋_GB2312" w:cs="FZFangSong-Z02"/>
          <w:sz w:val="32"/>
          <w:szCs w:val="32"/>
        </w:rPr>
        <w:t>、事业收入：指事业单位开展专业业务活动及辅助活动所取得的收入。</w:t>
      </w:r>
    </w:p>
    <w:p>
      <w:pPr>
        <w:pStyle w:val="10"/>
        <w:rPr>
          <w:rFonts w:ascii="仿宋_GB2312" w:hAnsi="FZFangSong-Z02" w:eastAsia="仿宋_GB2312" w:cs="FZFangSong-Z02"/>
          <w:sz w:val="32"/>
          <w:szCs w:val="32"/>
        </w:rPr>
      </w:pPr>
      <w:r>
        <w:rPr>
          <w:rFonts w:ascii="仿宋_GB2312" w:eastAsia="仿宋_GB2312"/>
          <w:b/>
          <w:bCs/>
          <w:sz w:val="32"/>
          <w:szCs w:val="32"/>
        </w:rPr>
        <w:t xml:space="preserve">    3</w:t>
      </w:r>
      <w:r>
        <w:rPr>
          <w:rFonts w:hint="eastAsia" w:ascii="仿宋_GB2312" w:hAnsi="FZFangSong-Z02" w:eastAsia="仿宋_GB2312" w:cs="FZFangSong-Z02"/>
          <w:sz w:val="32"/>
          <w:szCs w:val="32"/>
        </w:rPr>
        <w:t>、其他收入：指除上述</w:t>
      </w:r>
      <w:r>
        <w:rPr>
          <w:rFonts w:hint="eastAsia" w:ascii="仿宋_GB2312" w:eastAsia="仿宋_GB2312"/>
          <w:sz w:val="32"/>
          <w:szCs w:val="32"/>
        </w:rPr>
        <w:t>“</w:t>
      </w:r>
      <w:r>
        <w:rPr>
          <w:rFonts w:hint="eastAsia" w:ascii="仿宋_GB2312" w:hAnsi="FZFangSong-Z02" w:eastAsia="仿宋_GB2312" w:cs="FZFangSong-Z02"/>
          <w:sz w:val="32"/>
          <w:szCs w:val="32"/>
        </w:rPr>
        <w:t>财政拨款收入</w:t>
      </w:r>
      <w:r>
        <w:rPr>
          <w:rFonts w:hint="eastAsia" w:ascii="仿宋_GB2312" w:eastAsia="仿宋_GB2312"/>
          <w:sz w:val="32"/>
          <w:szCs w:val="32"/>
        </w:rPr>
        <w:t>”</w:t>
      </w:r>
      <w:r>
        <w:rPr>
          <w:rFonts w:hint="eastAsia" w:ascii="仿宋_GB2312" w:hAnsi="FZFangSong-Z02" w:eastAsia="仿宋_GB2312" w:cs="FZFangSong-Z02"/>
          <w:sz w:val="32"/>
          <w:szCs w:val="32"/>
        </w:rPr>
        <w:t>、</w:t>
      </w:r>
      <w:r>
        <w:rPr>
          <w:rFonts w:hint="eastAsia" w:ascii="仿宋_GB2312" w:eastAsia="仿宋_GB2312"/>
          <w:sz w:val="32"/>
          <w:szCs w:val="32"/>
        </w:rPr>
        <w:t>“</w:t>
      </w:r>
      <w:r>
        <w:rPr>
          <w:rFonts w:hint="eastAsia" w:ascii="仿宋_GB2312" w:hAnsi="FZFangSong-Z02" w:eastAsia="仿宋_GB2312" w:cs="FZFangSong-Z02"/>
          <w:sz w:val="32"/>
          <w:szCs w:val="32"/>
        </w:rPr>
        <w:t>事业收入</w:t>
      </w:r>
      <w:r>
        <w:rPr>
          <w:rFonts w:hint="eastAsia" w:ascii="仿宋_GB2312" w:eastAsia="仿宋_GB2312"/>
          <w:sz w:val="32"/>
          <w:szCs w:val="32"/>
        </w:rPr>
        <w:t>”</w:t>
      </w:r>
      <w:r>
        <w:rPr>
          <w:rFonts w:hint="eastAsia" w:ascii="仿宋_GB2312" w:hAnsi="FZFangSong-Z02" w:eastAsia="仿宋_GB2312" w:cs="FZFangSong-Z02"/>
          <w:sz w:val="32"/>
          <w:szCs w:val="32"/>
        </w:rPr>
        <w:t>等以外的收入。主要是按规定动用的租房收入、存款利息收入等。</w:t>
      </w:r>
    </w:p>
    <w:p>
      <w:pPr>
        <w:pStyle w:val="10"/>
        <w:rPr>
          <w:rFonts w:ascii="仿宋_GB2312" w:hAnsi="FZFangSong-Z02" w:eastAsia="仿宋_GB2312" w:cs="FZFangSong-Z02"/>
          <w:sz w:val="32"/>
          <w:szCs w:val="32"/>
        </w:rPr>
      </w:pPr>
      <w:r>
        <w:rPr>
          <w:rFonts w:ascii="仿宋_GB2312" w:eastAsia="仿宋_GB2312"/>
          <w:b/>
          <w:bCs/>
          <w:sz w:val="32"/>
          <w:szCs w:val="32"/>
        </w:rPr>
        <w:t xml:space="preserve">    4</w:t>
      </w:r>
      <w:r>
        <w:rPr>
          <w:rFonts w:hint="eastAsia" w:ascii="仿宋_GB2312" w:hAnsi="FZFangSong-Z02" w:eastAsia="仿宋_GB2312" w:cs="FZFangSong-Z02"/>
          <w:sz w:val="32"/>
          <w:szCs w:val="32"/>
        </w:rPr>
        <w:t>、基本支出：</w:t>
      </w:r>
      <w:r>
        <w:rPr>
          <w:rFonts w:hint="eastAsia" w:ascii="仿宋_GB2312" w:eastAsia="仿宋_GB2312"/>
          <w:sz w:val="32"/>
          <w:szCs w:val="32"/>
        </w:rPr>
        <w:t>指为保障机构正常运转、完成日常工作任务而发生的人员支出和公用支出。</w:t>
      </w:r>
    </w:p>
    <w:p>
      <w:pPr>
        <w:rPr>
          <w:rFonts w:ascii="仿宋_GB2312" w:eastAsia="仿宋_GB2312"/>
          <w:sz w:val="32"/>
          <w:szCs w:val="32"/>
        </w:rPr>
      </w:pPr>
      <w:r>
        <w:rPr>
          <w:rFonts w:ascii="仿宋_GB2312" w:eastAsia="仿宋_GB2312"/>
          <w:b/>
          <w:bCs/>
          <w:sz w:val="32"/>
          <w:szCs w:val="32"/>
        </w:rPr>
        <w:t xml:space="preserve">    5</w:t>
      </w:r>
      <w:r>
        <w:rPr>
          <w:rFonts w:hint="eastAsia" w:ascii="仿宋_GB2312" w:hAnsi="FZFangSong-Z02" w:eastAsia="仿宋_GB2312" w:cs="FZFangSong-Z02"/>
          <w:sz w:val="32"/>
          <w:szCs w:val="32"/>
        </w:rPr>
        <w:t>、项目支出：</w:t>
      </w:r>
      <w:r>
        <w:rPr>
          <w:rFonts w:hint="eastAsia" w:ascii="仿宋_GB2312" w:eastAsia="仿宋_GB2312"/>
          <w:sz w:val="32"/>
          <w:szCs w:val="32"/>
        </w:rPr>
        <w:t>指在基本支出之外为完成特定行政任务和事业发展目标所发生的支出。</w:t>
      </w:r>
    </w:p>
    <w:p>
      <w:pPr>
        <w:pStyle w:val="10"/>
        <w:rPr>
          <w:rFonts w:ascii="仿宋_GB2312" w:eastAsia="仿宋_GB2312"/>
          <w:sz w:val="32"/>
          <w:szCs w:val="32"/>
        </w:rPr>
      </w:pPr>
      <w:r>
        <w:rPr>
          <w:rFonts w:ascii="仿宋_GB2312" w:eastAsia="仿宋_GB2312"/>
          <w:b/>
          <w:bCs/>
          <w:sz w:val="32"/>
          <w:szCs w:val="32"/>
        </w:rPr>
        <w:t xml:space="preserve">    6</w:t>
      </w:r>
      <w:r>
        <w:rPr>
          <w:rFonts w:hint="eastAsia" w:ascii="仿宋_GB2312" w:hAnsi="FZFangSong-Z02" w:eastAsia="仿宋_GB2312" w:cs="FZFangSong-Z02"/>
          <w:sz w:val="32"/>
          <w:szCs w:val="32"/>
        </w:rPr>
        <w:t>、上缴上级支出：</w:t>
      </w:r>
      <w:r>
        <w:rPr>
          <w:rFonts w:hint="eastAsia" w:ascii="仿宋_GB2312" w:eastAsia="仿宋_GB2312"/>
          <w:sz w:val="32"/>
          <w:szCs w:val="32"/>
        </w:rPr>
        <w:t>指下级单位上缴上级的支出。</w:t>
      </w:r>
    </w:p>
    <w:p>
      <w:pPr>
        <w:pStyle w:val="10"/>
        <w:rPr>
          <w:rFonts w:ascii="仿宋_GB2312" w:hAnsi="FZFangSong-Z02" w:eastAsia="仿宋_GB2312" w:cs="FZFangSong-Z02"/>
          <w:sz w:val="32"/>
          <w:szCs w:val="32"/>
        </w:rPr>
      </w:pPr>
      <w:r>
        <w:rPr>
          <w:rFonts w:ascii="仿宋_GB2312" w:eastAsia="仿宋_GB2312"/>
          <w:b/>
          <w:bCs/>
          <w:sz w:val="32"/>
          <w:szCs w:val="32"/>
        </w:rPr>
        <w:t xml:space="preserve">    7</w:t>
      </w:r>
      <w:r>
        <w:rPr>
          <w:rFonts w:hint="eastAsia" w:ascii="仿宋_GB2312" w:hAnsi="FZFangSong-Z02" w:eastAsia="仿宋_GB2312" w:cs="FZFangSong-Z02"/>
          <w:sz w:val="32"/>
          <w:szCs w:val="32"/>
        </w:rPr>
        <w:t>、</w:t>
      </w:r>
      <w:r>
        <w:rPr>
          <w:rFonts w:hint="eastAsia" w:ascii="仿宋_GB2312" w:eastAsia="仿宋_GB2312"/>
          <w:b/>
          <w:bCs/>
          <w:sz w:val="32"/>
          <w:szCs w:val="32"/>
        </w:rPr>
        <w:t>“</w:t>
      </w:r>
      <w:r>
        <w:rPr>
          <w:rFonts w:hint="eastAsia" w:ascii="仿宋_GB2312" w:hAnsi="FZFangSong-Z02" w:eastAsia="仿宋_GB2312" w:cs="FZFangSong-Z02"/>
          <w:sz w:val="32"/>
          <w:szCs w:val="32"/>
        </w:rPr>
        <w:t>三公</w:t>
      </w:r>
      <w:r>
        <w:rPr>
          <w:rFonts w:hint="eastAsia" w:ascii="仿宋_GB2312" w:eastAsia="仿宋_GB2312"/>
          <w:b/>
          <w:bCs/>
          <w:sz w:val="32"/>
          <w:szCs w:val="32"/>
        </w:rPr>
        <w:t>”</w:t>
      </w:r>
      <w:r>
        <w:rPr>
          <w:rFonts w:hint="eastAsia" w:ascii="仿宋_GB2312" w:hAnsi="FZFangSong-Z02" w:eastAsia="仿宋_GB2312" w:cs="FZFangSong-Z02"/>
          <w:sz w:val="32"/>
          <w:szCs w:val="32"/>
        </w:rPr>
        <w:t>经费：纳入县级财政预算管理的</w:t>
      </w:r>
      <w:r>
        <w:rPr>
          <w:rFonts w:hint="eastAsia" w:ascii="仿宋_GB2312" w:eastAsia="仿宋_GB2312"/>
          <w:sz w:val="32"/>
          <w:szCs w:val="32"/>
        </w:rPr>
        <w:t>“</w:t>
      </w:r>
      <w:r>
        <w:rPr>
          <w:rFonts w:hint="eastAsia" w:ascii="仿宋_GB2312" w:hAnsi="FZFangSong-Z02" w:eastAsia="仿宋_GB2312" w:cs="FZFangSong-Z02"/>
          <w:sz w:val="32"/>
          <w:szCs w:val="32"/>
        </w:rPr>
        <w:t>三公</w:t>
      </w:r>
      <w:r>
        <w:rPr>
          <w:rFonts w:hint="eastAsia" w:ascii="仿宋_GB2312" w:eastAsia="仿宋_GB2312"/>
          <w:sz w:val="32"/>
          <w:szCs w:val="32"/>
        </w:rPr>
        <w:t>”</w:t>
      </w:r>
      <w:r>
        <w:rPr>
          <w:rFonts w:hint="eastAsia" w:ascii="仿宋_GB2312" w:hAnsi="FZFangSong-Z02" w:eastAsia="仿宋_GB2312" w:cs="FZFangSong-Z02"/>
          <w:sz w:val="32"/>
          <w:szCs w:val="32"/>
        </w:rPr>
        <w:t>经费，是指县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ind w:firstLine="640"/>
        <w:rPr>
          <w:rFonts w:ascii="仿宋_GB2312" w:eastAsia="仿宋_GB2312"/>
          <w:sz w:val="32"/>
          <w:szCs w:val="32"/>
        </w:rPr>
      </w:pPr>
      <w:r>
        <w:rPr>
          <w:rFonts w:ascii="仿宋_GB2312" w:eastAsia="仿宋_GB2312"/>
          <w:b/>
          <w:bCs/>
          <w:sz w:val="32"/>
          <w:szCs w:val="32"/>
        </w:rPr>
        <w:t>8</w:t>
      </w:r>
      <w:r>
        <w:rPr>
          <w:rFonts w:hint="eastAsia" w:ascii="仿宋_GB2312" w:hAnsi="FZFangSong-Z02" w:eastAsia="仿宋_GB2312" w:cs="FZFangSong-Z02"/>
          <w:sz w:val="32"/>
          <w:szCs w:val="32"/>
        </w:rPr>
        <w:t>、机关运行费：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w:t>
      </w:r>
      <w:r>
        <w:rPr>
          <w:rFonts w:hint="eastAsia" w:ascii="仿宋_GB2312" w:eastAsia="仿宋_GB2312"/>
          <w:sz w:val="32"/>
          <w:szCs w:val="32"/>
        </w:rPr>
        <w:t>其他费用。</w:t>
      </w:r>
    </w:p>
    <w:p>
      <w:pPr>
        <w:ind w:firstLine="640"/>
        <w:rPr>
          <w:rFonts w:ascii="黑体" w:hAnsi="黑体" w:eastAsia="黑体"/>
          <w:sz w:val="32"/>
          <w:szCs w:val="32"/>
        </w:rPr>
      </w:pPr>
      <w:r>
        <w:rPr>
          <w:rFonts w:hint="eastAsia" w:ascii="黑体" w:hAnsi="黑体" w:eastAsia="黑体"/>
          <w:sz w:val="32"/>
          <w:szCs w:val="32"/>
        </w:rPr>
        <w:t>九、其它需要说明的事项</w:t>
      </w:r>
    </w:p>
    <w:p>
      <w:pPr>
        <w:tabs>
          <w:tab w:val="left" w:pos="11490"/>
        </w:tabs>
        <w:ind w:firstLine="640" w:firstLineChars="200"/>
        <w:rPr>
          <w:rFonts w:ascii="仿宋" w:hAnsi="仿宋" w:eastAsia="仿宋"/>
          <w:sz w:val="32"/>
          <w:szCs w:val="32"/>
        </w:rPr>
      </w:pPr>
      <w:r>
        <w:rPr>
          <w:rFonts w:hint="eastAsia" w:ascii="仿宋" w:hAnsi="仿宋" w:eastAsia="仿宋"/>
          <w:sz w:val="32"/>
          <w:szCs w:val="32"/>
        </w:rPr>
        <w:t>无其它需要说明的事项。</w:t>
      </w:r>
    </w:p>
    <w:sectPr>
      <w:headerReference r:id="rId5" w:type="first"/>
      <w:footerReference r:id="rId8" w:type="first"/>
      <w:headerReference r:id="rId3" w:type="default"/>
      <w:footerReference r:id="rId6" w:type="default"/>
      <w:headerReference r:id="rId4" w:type="even"/>
      <w:footerReference r:id="rId7" w:type="even"/>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_GBK">
    <w:altName w:val="宋体"/>
    <w:panose1 w:val="00000000000000000000"/>
    <w:charset w:val="86"/>
    <w:family w:val="roman"/>
    <w:pitch w:val="default"/>
    <w:sig w:usb0="00000000" w:usb1="00000000" w:usb2="00000010" w:usb3="00000000" w:csb0="00040000" w:csb1="00000000"/>
  </w:font>
  <w:font w:name="方正书宋_GBK">
    <w:altName w:val="SimSun-ExtB"/>
    <w:panose1 w:val="00000000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方正仿宋_GBK">
    <w:altName w:val="宋体"/>
    <w:panose1 w:val="00000000000000000000"/>
    <w:charset w:val="86"/>
    <w:family w:val="roma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FZFangSong-Z02">
    <w:altName w:val="Arial"/>
    <w:panose1 w:val="00000000000000000000"/>
    <w:charset w:val="00"/>
    <w:family w:val="swiss"/>
    <w:pitch w:val="default"/>
    <w:sig w:usb0="00000000" w:usb1="00000000" w:usb2="00000000" w:usb3="00000000" w:csb0="00000001" w:csb1="00000000"/>
  </w:font>
  <w:font w:name="SimSun-ExtB">
    <w:panose1 w:val="02010609060101010101"/>
    <w:charset w:val="86"/>
    <w:family w:val="auto"/>
    <w:pitch w:val="default"/>
    <w:sig w:usb0="00000001" w:usb1="02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6032"/>
    <w:rsid w:val="00005AA1"/>
    <w:rsid w:val="000251F1"/>
    <w:rsid w:val="00037AF6"/>
    <w:rsid w:val="0004140B"/>
    <w:rsid w:val="00045A61"/>
    <w:rsid w:val="00052587"/>
    <w:rsid w:val="00062DD6"/>
    <w:rsid w:val="000650DE"/>
    <w:rsid w:val="000751CD"/>
    <w:rsid w:val="00075D5F"/>
    <w:rsid w:val="00093D80"/>
    <w:rsid w:val="000A63E7"/>
    <w:rsid w:val="000B04B5"/>
    <w:rsid w:val="000C3A19"/>
    <w:rsid w:val="000D1ED1"/>
    <w:rsid w:val="0012106A"/>
    <w:rsid w:val="001245BB"/>
    <w:rsid w:val="00125FBB"/>
    <w:rsid w:val="0018479D"/>
    <w:rsid w:val="001C1F53"/>
    <w:rsid w:val="001C4F55"/>
    <w:rsid w:val="00203698"/>
    <w:rsid w:val="00223272"/>
    <w:rsid w:val="00241FD4"/>
    <w:rsid w:val="0024465C"/>
    <w:rsid w:val="00246DD9"/>
    <w:rsid w:val="002508C4"/>
    <w:rsid w:val="00251B12"/>
    <w:rsid w:val="00260879"/>
    <w:rsid w:val="00261354"/>
    <w:rsid w:val="002645FB"/>
    <w:rsid w:val="00274B2E"/>
    <w:rsid w:val="00296113"/>
    <w:rsid w:val="002C200A"/>
    <w:rsid w:val="002C5A72"/>
    <w:rsid w:val="002D1476"/>
    <w:rsid w:val="002D3227"/>
    <w:rsid w:val="002D4AF7"/>
    <w:rsid w:val="002F3E58"/>
    <w:rsid w:val="0030542C"/>
    <w:rsid w:val="00311B7A"/>
    <w:rsid w:val="00332ABC"/>
    <w:rsid w:val="003978D9"/>
    <w:rsid w:val="003A094E"/>
    <w:rsid w:val="003E1A7F"/>
    <w:rsid w:val="003E23A5"/>
    <w:rsid w:val="003F49E7"/>
    <w:rsid w:val="003F58F6"/>
    <w:rsid w:val="00415CB8"/>
    <w:rsid w:val="00450F8F"/>
    <w:rsid w:val="00451871"/>
    <w:rsid w:val="00472923"/>
    <w:rsid w:val="00497870"/>
    <w:rsid w:val="004B37C2"/>
    <w:rsid w:val="004E3066"/>
    <w:rsid w:val="004E74CD"/>
    <w:rsid w:val="004F6123"/>
    <w:rsid w:val="00520CEC"/>
    <w:rsid w:val="00532AAA"/>
    <w:rsid w:val="0056326C"/>
    <w:rsid w:val="005632E5"/>
    <w:rsid w:val="00572603"/>
    <w:rsid w:val="00573562"/>
    <w:rsid w:val="00595C93"/>
    <w:rsid w:val="005C1AEB"/>
    <w:rsid w:val="005C248A"/>
    <w:rsid w:val="005D68FF"/>
    <w:rsid w:val="006009A1"/>
    <w:rsid w:val="00614A29"/>
    <w:rsid w:val="006345D5"/>
    <w:rsid w:val="00635B45"/>
    <w:rsid w:val="00646686"/>
    <w:rsid w:val="0069476A"/>
    <w:rsid w:val="006954B0"/>
    <w:rsid w:val="006D6C8A"/>
    <w:rsid w:val="006E5AA3"/>
    <w:rsid w:val="007323EB"/>
    <w:rsid w:val="0075393C"/>
    <w:rsid w:val="00757221"/>
    <w:rsid w:val="00776C08"/>
    <w:rsid w:val="007A1524"/>
    <w:rsid w:val="007B2D87"/>
    <w:rsid w:val="007B4EE0"/>
    <w:rsid w:val="007E1DA8"/>
    <w:rsid w:val="007F1DCF"/>
    <w:rsid w:val="007F6C26"/>
    <w:rsid w:val="007F7075"/>
    <w:rsid w:val="00803D50"/>
    <w:rsid w:val="00826AC9"/>
    <w:rsid w:val="008334AE"/>
    <w:rsid w:val="00836FED"/>
    <w:rsid w:val="00845CD2"/>
    <w:rsid w:val="008502D8"/>
    <w:rsid w:val="00852B0D"/>
    <w:rsid w:val="00881692"/>
    <w:rsid w:val="00882325"/>
    <w:rsid w:val="008B3CC5"/>
    <w:rsid w:val="008C2BAF"/>
    <w:rsid w:val="008E4261"/>
    <w:rsid w:val="008F4662"/>
    <w:rsid w:val="00905196"/>
    <w:rsid w:val="00905D08"/>
    <w:rsid w:val="0091236C"/>
    <w:rsid w:val="00925753"/>
    <w:rsid w:val="00927B0B"/>
    <w:rsid w:val="009668BA"/>
    <w:rsid w:val="00966C5C"/>
    <w:rsid w:val="00967BB9"/>
    <w:rsid w:val="00973104"/>
    <w:rsid w:val="009A2998"/>
    <w:rsid w:val="009C119B"/>
    <w:rsid w:val="00A11219"/>
    <w:rsid w:val="00A34D76"/>
    <w:rsid w:val="00A662E9"/>
    <w:rsid w:val="00A72D2E"/>
    <w:rsid w:val="00A911E7"/>
    <w:rsid w:val="00A939D9"/>
    <w:rsid w:val="00AA71ED"/>
    <w:rsid w:val="00AB73CD"/>
    <w:rsid w:val="00AC1801"/>
    <w:rsid w:val="00AF6B63"/>
    <w:rsid w:val="00B043C4"/>
    <w:rsid w:val="00B20712"/>
    <w:rsid w:val="00B240A9"/>
    <w:rsid w:val="00B43238"/>
    <w:rsid w:val="00B524B1"/>
    <w:rsid w:val="00B75216"/>
    <w:rsid w:val="00B91D52"/>
    <w:rsid w:val="00BA1ACD"/>
    <w:rsid w:val="00BA408B"/>
    <w:rsid w:val="00BA6C50"/>
    <w:rsid w:val="00C20230"/>
    <w:rsid w:val="00C21BCB"/>
    <w:rsid w:val="00C24BF5"/>
    <w:rsid w:val="00C44A1E"/>
    <w:rsid w:val="00C720E3"/>
    <w:rsid w:val="00C8569A"/>
    <w:rsid w:val="00CA7176"/>
    <w:rsid w:val="00CD2773"/>
    <w:rsid w:val="00CD326E"/>
    <w:rsid w:val="00CE143B"/>
    <w:rsid w:val="00CE403B"/>
    <w:rsid w:val="00CE5192"/>
    <w:rsid w:val="00CF2D57"/>
    <w:rsid w:val="00D361CD"/>
    <w:rsid w:val="00D6459D"/>
    <w:rsid w:val="00D80DB8"/>
    <w:rsid w:val="00DA2FDB"/>
    <w:rsid w:val="00DD2E66"/>
    <w:rsid w:val="00E167C7"/>
    <w:rsid w:val="00E84FEB"/>
    <w:rsid w:val="00EC08B9"/>
    <w:rsid w:val="00EC47F6"/>
    <w:rsid w:val="00EE1B43"/>
    <w:rsid w:val="00EF15F5"/>
    <w:rsid w:val="00F153EF"/>
    <w:rsid w:val="00F50E15"/>
    <w:rsid w:val="00F61055"/>
    <w:rsid w:val="00F66032"/>
    <w:rsid w:val="00F71E48"/>
    <w:rsid w:val="00F958C2"/>
    <w:rsid w:val="00FB4CD3"/>
    <w:rsid w:val="00FC6357"/>
    <w:rsid w:val="00FD2081"/>
    <w:rsid w:val="00FE3D85"/>
    <w:rsid w:val="04FB1C0C"/>
    <w:rsid w:val="05373401"/>
    <w:rsid w:val="05CA485E"/>
    <w:rsid w:val="07BE1393"/>
    <w:rsid w:val="08652FB1"/>
    <w:rsid w:val="08D33A4F"/>
    <w:rsid w:val="1342230B"/>
    <w:rsid w:val="134D63E4"/>
    <w:rsid w:val="16FE4FB8"/>
    <w:rsid w:val="23BF6B9A"/>
    <w:rsid w:val="244F207A"/>
    <w:rsid w:val="27F55CCB"/>
    <w:rsid w:val="32E54382"/>
    <w:rsid w:val="35420445"/>
    <w:rsid w:val="36C525D2"/>
    <w:rsid w:val="3CB313E6"/>
    <w:rsid w:val="3E2D523D"/>
    <w:rsid w:val="431402BB"/>
    <w:rsid w:val="45F979B1"/>
    <w:rsid w:val="47A40203"/>
    <w:rsid w:val="531E1D6E"/>
    <w:rsid w:val="58743CD4"/>
    <w:rsid w:val="58B158B0"/>
    <w:rsid w:val="5970333A"/>
    <w:rsid w:val="5AF70F2C"/>
    <w:rsid w:val="66341822"/>
    <w:rsid w:val="6AB62A89"/>
    <w:rsid w:val="71921E83"/>
    <w:rsid w:val="75810400"/>
    <w:rsid w:val="7DFB180A"/>
    <w:rsid w:val="7F997105"/>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rFonts w:ascii="Times New Roman" w:hAnsi="Times New Roman"/>
      <w:sz w:val="18"/>
      <w:szCs w:val="18"/>
    </w:rPr>
  </w:style>
  <w:style w:type="paragraph" w:styleId="3">
    <w:name w:val="header"/>
    <w:basedOn w:val="1"/>
    <w:link w:val="9"/>
    <w:uiPriority w:val="99"/>
    <w:pPr>
      <w:pBdr>
        <w:bottom w:val="single" w:color="auto" w:sz="6" w:space="1"/>
      </w:pBdr>
      <w:tabs>
        <w:tab w:val="center" w:pos="4153"/>
        <w:tab w:val="right" w:pos="8306"/>
      </w:tabs>
      <w:snapToGrid w:val="0"/>
      <w:jc w:val="center"/>
    </w:pPr>
    <w:rPr>
      <w:rFonts w:ascii="Times New Roman" w:hAnsi="Times New Roman"/>
      <w:sz w:val="18"/>
      <w:szCs w:val="18"/>
    </w:rPr>
  </w:style>
  <w:style w:type="paragraph" w:styleId="4">
    <w:name w:val="toc 1"/>
    <w:basedOn w:val="1"/>
    <w:next w:val="1"/>
    <w:qFormat/>
    <w:uiPriority w:val="99"/>
    <w:rPr>
      <w:rFonts w:ascii="Times New Roman" w:hAnsi="Times New Roman"/>
      <w:szCs w:val="24"/>
    </w:rPr>
  </w:style>
  <w:style w:type="paragraph" w:styleId="5">
    <w:name w:val="toc 2"/>
    <w:basedOn w:val="1"/>
    <w:next w:val="1"/>
    <w:qFormat/>
    <w:uiPriority w:val="99"/>
    <w:pPr>
      <w:ind w:left="420" w:leftChars="200"/>
    </w:pPr>
    <w:rPr>
      <w:rFonts w:ascii="Times New Roman" w:hAnsi="Times New Roman"/>
      <w:szCs w:val="24"/>
    </w:rPr>
  </w:style>
  <w:style w:type="character" w:customStyle="1" w:styleId="8">
    <w:name w:val="Footer Char"/>
    <w:basedOn w:val="7"/>
    <w:link w:val="2"/>
    <w:qFormat/>
    <w:locked/>
    <w:uiPriority w:val="99"/>
    <w:rPr>
      <w:rFonts w:ascii="Times New Roman" w:hAnsi="Times New Roman" w:eastAsia="宋体" w:cs="Times New Roman"/>
      <w:sz w:val="18"/>
      <w:szCs w:val="18"/>
    </w:rPr>
  </w:style>
  <w:style w:type="character" w:customStyle="1" w:styleId="9">
    <w:name w:val="Header Char"/>
    <w:basedOn w:val="7"/>
    <w:link w:val="3"/>
    <w:qFormat/>
    <w:locked/>
    <w:uiPriority w:val="99"/>
    <w:rPr>
      <w:rFonts w:ascii="Times New Roman" w:hAnsi="Times New Roman" w:eastAsia="宋体" w:cs="Times New Roman"/>
      <w:sz w:val="18"/>
      <w:szCs w:val="18"/>
    </w:rPr>
  </w:style>
  <w:style w:type="paragraph" w:customStyle="1" w:styleId="10">
    <w:name w:val="Default"/>
    <w:qFormat/>
    <w:uiPriority w:val="99"/>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9</Pages>
  <Words>452</Words>
  <Characters>2579</Characters>
  <Lines>0</Lines>
  <Paragraphs>0</Paragraphs>
  <TotalTime>15</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2017-01-13T03:22:00Z</dcterms:created>
  <dc:creator>guest</dc:creator>
  <cp:lastModifiedBy>小黑猴子</cp:lastModifiedBy>
  <dcterms:modified xsi:type="dcterms:W3CDTF">2021-05-21T00:22:33Z</dcterms:modified>
  <cp:revision>133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